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rsidTr="00060C0C">
        <w:trPr>
          <w:trHeight w:hRule="exact" w:val="2948"/>
        </w:trPr>
        <w:tc>
          <w:tcPr>
            <w:tcW w:w="11185" w:type="dxa"/>
            <w:shd w:val="clear" w:color="auto" w:fill="83D0F5"/>
            <w:vAlign w:val="center"/>
          </w:tcPr>
          <w:p w:rsidR="00974E99" w:rsidRPr="00405755" w:rsidRDefault="00974E99" w:rsidP="00564664">
            <w:pPr>
              <w:pStyle w:val="Documenttype"/>
            </w:pPr>
            <w:bookmarkStart w:id="0" w:name="_GoBack"/>
            <w:bookmarkEnd w:id="0"/>
            <w:r w:rsidRPr="00405755">
              <w:t xml:space="preserve">IALA </w:t>
            </w:r>
            <w:r w:rsidR="00F905E1" w:rsidRPr="00405755">
              <w:t>R</w:t>
            </w:r>
            <w:r w:rsidR="00456EE9" w:rsidRPr="00405755">
              <w:t>ECOMMENDATI</w:t>
            </w:r>
            <w:r w:rsidR="00F905E1" w:rsidRPr="00405755">
              <w:t>ON</w:t>
            </w:r>
          </w:p>
        </w:tc>
      </w:tr>
    </w:tbl>
    <w:p w:rsidR="008972C3" w:rsidRPr="00405755" w:rsidRDefault="008972C3" w:rsidP="003274DB"/>
    <w:p w:rsidR="00D74AE1" w:rsidRPr="00405755" w:rsidRDefault="00D74AE1" w:rsidP="003274DB"/>
    <w:p w:rsidR="00111E0A" w:rsidRPr="00405755" w:rsidRDefault="002163AE" w:rsidP="00111E0A">
      <w:pPr>
        <w:pStyle w:val="Documentnumber"/>
      </w:pPr>
      <w:r>
        <w:t>E-106</w:t>
      </w:r>
    </w:p>
    <w:p w:rsidR="00111E0A" w:rsidRPr="00405755" w:rsidRDefault="00111E0A" w:rsidP="003274DB"/>
    <w:p w:rsidR="00776004" w:rsidRPr="00405755" w:rsidRDefault="009131D6" w:rsidP="00564664">
      <w:pPr>
        <w:pStyle w:val="Documentname"/>
      </w:pPr>
      <w:r>
        <w:t>retroref</w:t>
      </w:r>
      <w:r w:rsidR="002163AE">
        <w:t>l</w:t>
      </w:r>
      <w:r>
        <w:t>e</w:t>
      </w:r>
      <w:r w:rsidR="002163AE">
        <w:t>cting material on Aids to navigation Marks within the iala maritime buoyage system</w:t>
      </w:r>
    </w:p>
    <w:p w:rsidR="00D74AE1" w:rsidRPr="00405755" w:rsidRDefault="00D74AE1" w:rsidP="00D74AE1"/>
    <w:p w:rsidR="006A48A6" w:rsidRPr="00405755" w:rsidRDefault="006A48A6" w:rsidP="00D74AE1"/>
    <w:p w:rsidR="005378B8" w:rsidRPr="00405755" w:rsidRDefault="005378B8" w:rsidP="00D74AE1"/>
    <w:p w:rsidR="005378B8" w:rsidRPr="00405755" w:rsidRDefault="005378B8" w:rsidP="00D74AE1"/>
    <w:p w:rsidR="005378B8" w:rsidRPr="00405755" w:rsidRDefault="005378B8" w:rsidP="00D74AE1"/>
    <w:p w:rsidR="005378B8" w:rsidRPr="00405755" w:rsidRDefault="005378B8" w:rsidP="00D74AE1"/>
    <w:p w:rsidR="005378B8" w:rsidRPr="00405755" w:rsidRDefault="005378B8" w:rsidP="00D74AE1"/>
    <w:p w:rsidR="005378B8" w:rsidRPr="00405755" w:rsidRDefault="005378B8" w:rsidP="00D74AE1"/>
    <w:p w:rsidR="005378B8" w:rsidRPr="00405755" w:rsidRDefault="005378B8" w:rsidP="00D74AE1"/>
    <w:p w:rsidR="005378B8" w:rsidRPr="00405755" w:rsidRDefault="005378B8" w:rsidP="00D74AE1"/>
    <w:p w:rsidR="005378B8" w:rsidRPr="00405755" w:rsidRDefault="005378B8" w:rsidP="00D74AE1"/>
    <w:p w:rsidR="005378B8" w:rsidRPr="00405755" w:rsidRDefault="005378B8" w:rsidP="00D74AE1"/>
    <w:p w:rsidR="005378B8" w:rsidRPr="00405755" w:rsidRDefault="005378B8" w:rsidP="00D74AE1"/>
    <w:p w:rsidR="005378B8" w:rsidRPr="00405755" w:rsidRDefault="005378B8" w:rsidP="00D74AE1"/>
    <w:p w:rsidR="005378B8" w:rsidRPr="00405755" w:rsidRDefault="005378B8" w:rsidP="00D74AE1"/>
    <w:p w:rsidR="005378B8" w:rsidRPr="00405755" w:rsidRDefault="005378B8" w:rsidP="00D74AE1"/>
    <w:p w:rsidR="005378B8" w:rsidRPr="00405755" w:rsidRDefault="005378B8" w:rsidP="00D74AE1"/>
    <w:p w:rsidR="005378B8" w:rsidRPr="00405755" w:rsidRDefault="005378B8" w:rsidP="005378B8">
      <w:pPr>
        <w:pStyle w:val="Editionnumber"/>
      </w:pPr>
      <w:r w:rsidRPr="00405755">
        <w:t xml:space="preserve">Edition </w:t>
      </w:r>
      <w:r w:rsidR="009131D6">
        <w:t>1</w:t>
      </w:r>
      <w:r w:rsidRPr="00405755">
        <w:t>.0</w:t>
      </w:r>
    </w:p>
    <w:p w:rsidR="006A48A6" w:rsidRPr="00405755" w:rsidRDefault="005378B8" w:rsidP="005378B8">
      <w:pPr>
        <w:pStyle w:val="Documentdate"/>
      </w:pPr>
      <w:r w:rsidRPr="00405755">
        <w:t>Document date</w:t>
      </w:r>
    </w:p>
    <w:p w:rsidR="00BC27F6" w:rsidRPr="00405755" w:rsidRDefault="00BC27F6" w:rsidP="00D74AE1">
      <w:pPr>
        <w:sectPr w:rsidR="00BC27F6" w:rsidRPr="00405755"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rsidR="00914E26" w:rsidRPr="00405755" w:rsidRDefault="00914E26" w:rsidP="00914E26">
      <w:pPr>
        <w:pStyle w:val="BodyText"/>
      </w:pPr>
      <w:r w:rsidRPr="0040575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rsidTr="005E4659">
        <w:tc>
          <w:tcPr>
            <w:tcW w:w="1908" w:type="dxa"/>
          </w:tcPr>
          <w:p w:rsidR="00914E26" w:rsidRPr="00405755" w:rsidRDefault="00914E26" w:rsidP="00914E26">
            <w:pPr>
              <w:pStyle w:val="Tabletexttitle"/>
            </w:pPr>
            <w:r w:rsidRPr="00405755">
              <w:t>Date</w:t>
            </w:r>
          </w:p>
        </w:tc>
        <w:tc>
          <w:tcPr>
            <w:tcW w:w="3576" w:type="dxa"/>
          </w:tcPr>
          <w:p w:rsidR="00914E26" w:rsidRPr="00405755" w:rsidRDefault="00914E26" w:rsidP="00914E26">
            <w:pPr>
              <w:pStyle w:val="Tabletexttitle"/>
            </w:pPr>
            <w:r w:rsidRPr="00405755">
              <w:t>Page / Section Revised</w:t>
            </w:r>
          </w:p>
        </w:tc>
        <w:tc>
          <w:tcPr>
            <w:tcW w:w="5001" w:type="dxa"/>
          </w:tcPr>
          <w:p w:rsidR="00914E26" w:rsidRPr="00405755" w:rsidRDefault="00914E26" w:rsidP="005E4659">
            <w:pPr>
              <w:pStyle w:val="Tabletexttitle"/>
              <w:ind w:right="112"/>
            </w:pPr>
            <w:r w:rsidRPr="00405755">
              <w:t>Requirement for Revision</w:t>
            </w:r>
          </w:p>
        </w:tc>
      </w:tr>
      <w:tr w:rsidR="005E4659" w:rsidRPr="00405755" w:rsidTr="005E4659">
        <w:trPr>
          <w:trHeight w:val="851"/>
        </w:trPr>
        <w:tc>
          <w:tcPr>
            <w:tcW w:w="1908" w:type="dxa"/>
            <w:vAlign w:val="center"/>
          </w:tcPr>
          <w:p w:rsidR="00914E26" w:rsidRPr="00405755" w:rsidRDefault="00607B0A" w:rsidP="00914E26">
            <w:pPr>
              <w:pStyle w:val="Tabletext"/>
            </w:pPr>
            <w:r>
              <w:t>December</w:t>
            </w:r>
          </w:p>
        </w:tc>
        <w:tc>
          <w:tcPr>
            <w:tcW w:w="3576" w:type="dxa"/>
            <w:vAlign w:val="center"/>
          </w:tcPr>
          <w:p w:rsidR="00914E26" w:rsidRPr="00405755" w:rsidRDefault="007F5191" w:rsidP="00914E26">
            <w:pPr>
              <w:pStyle w:val="Tabletext"/>
            </w:pPr>
            <w:r>
              <w:t>Annex A, Pages 4-6</w:t>
            </w:r>
          </w:p>
        </w:tc>
        <w:tc>
          <w:tcPr>
            <w:tcW w:w="5001" w:type="dxa"/>
            <w:vAlign w:val="center"/>
          </w:tcPr>
          <w:p w:rsidR="00914E26" w:rsidRPr="00405755" w:rsidRDefault="007F5191" w:rsidP="007F5191">
            <w:pPr>
              <w:pStyle w:val="Tabletext"/>
            </w:pPr>
            <w:r>
              <w:t>New tables added to Annex A for Standard and Comprehensive codes.</w:t>
            </w:r>
          </w:p>
        </w:tc>
      </w:tr>
      <w:tr w:rsidR="005E4659" w:rsidRPr="00405755" w:rsidTr="005E4659">
        <w:trPr>
          <w:trHeight w:val="851"/>
        </w:trPr>
        <w:tc>
          <w:tcPr>
            <w:tcW w:w="1908" w:type="dxa"/>
            <w:vAlign w:val="center"/>
          </w:tcPr>
          <w:p w:rsidR="00914E26" w:rsidRPr="00405755" w:rsidRDefault="00914E26" w:rsidP="00914E26">
            <w:pPr>
              <w:pStyle w:val="Tabletext"/>
            </w:pPr>
          </w:p>
        </w:tc>
        <w:tc>
          <w:tcPr>
            <w:tcW w:w="3576" w:type="dxa"/>
            <w:vAlign w:val="center"/>
          </w:tcPr>
          <w:p w:rsidR="00914E26" w:rsidRPr="00405755" w:rsidRDefault="00914E26" w:rsidP="00914E26">
            <w:pPr>
              <w:pStyle w:val="Tabletext"/>
            </w:pPr>
          </w:p>
        </w:tc>
        <w:tc>
          <w:tcPr>
            <w:tcW w:w="5001" w:type="dxa"/>
            <w:vAlign w:val="center"/>
          </w:tcPr>
          <w:p w:rsidR="00914E26" w:rsidRPr="00405755" w:rsidRDefault="00914E26" w:rsidP="00914E26">
            <w:pPr>
              <w:pStyle w:val="Tabletext"/>
            </w:pPr>
          </w:p>
        </w:tc>
      </w:tr>
      <w:tr w:rsidR="005E4659" w:rsidRPr="00405755" w:rsidTr="005E4659">
        <w:trPr>
          <w:trHeight w:val="851"/>
        </w:trPr>
        <w:tc>
          <w:tcPr>
            <w:tcW w:w="1908" w:type="dxa"/>
            <w:vAlign w:val="center"/>
          </w:tcPr>
          <w:p w:rsidR="00914E26" w:rsidRPr="00405755" w:rsidRDefault="00914E26" w:rsidP="00914E26">
            <w:pPr>
              <w:pStyle w:val="Tabletext"/>
            </w:pPr>
          </w:p>
        </w:tc>
        <w:tc>
          <w:tcPr>
            <w:tcW w:w="3576" w:type="dxa"/>
            <w:vAlign w:val="center"/>
          </w:tcPr>
          <w:p w:rsidR="00914E26" w:rsidRPr="00405755" w:rsidRDefault="00914E26" w:rsidP="00914E26">
            <w:pPr>
              <w:pStyle w:val="Tabletext"/>
            </w:pPr>
          </w:p>
        </w:tc>
        <w:tc>
          <w:tcPr>
            <w:tcW w:w="5001" w:type="dxa"/>
            <w:vAlign w:val="center"/>
          </w:tcPr>
          <w:p w:rsidR="00914E26" w:rsidRPr="00405755" w:rsidRDefault="00914E26" w:rsidP="00914E26">
            <w:pPr>
              <w:pStyle w:val="Tabletext"/>
            </w:pPr>
          </w:p>
        </w:tc>
      </w:tr>
      <w:tr w:rsidR="005E4659" w:rsidRPr="00405755" w:rsidTr="005E4659">
        <w:trPr>
          <w:trHeight w:val="851"/>
        </w:trPr>
        <w:tc>
          <w:tcPr>
            <w:tcW w:w="1908" w:type="dxa"/>
            <w:vAlign w:val="center"/>
          </w:tcPr>
          <w:p w:rsidR="00914E26" w:rsidRPr="00405755" w:rsidRDefault="00914E26" w:rsidP="00914E26">
            <w:pPr>
              <w:pStyle w:val="Tabletext"/>
            </w:pPr>
          </w:p>
        </w:tc>
        <w:tc>
          <w:tcPr>
            <w:tcW w:w="3576" w:type="dxa"/>
            <w:vAlign w:val="center"/>
          </w:tcPr>
          <w:p w:rsidR="00914E26" w:rsidRPr="00405755" w:rsidRDefault="00914E26" w:rsidP="00914E26">
            <w:pPr>
              <w:pStyle w:val="Tabletext"/>
            </w:pPr>
          </w:p>
        </w:tc>
        <w:tc>
          <w:tcPr>
            <w:tcW w:w="5001" w:type="dxa"/>
            <w:vAlign w:val="center"/>
          </w:tcPr>
          <w:p w:rsidR="00914E26" w:rsidRPr="00405755" w:rsidRDefault="00914E26" w:rsidP="00914E26">
            <w:pPr>
              <w:pStyle w:val="Tabletext"/>
            </w:pPr>
          </w:p>
        </w:tc>
      </w:tr>
      <w:tr w:rsidR="005E4659" w:rsidRPr="00405755" w:rsidTr="005E4659">
        <w:trPr>
          <w:trHeight w:val="851"/>
        </w:trPr>
        <w:tc>
          <w:tcPr>
            <w:tcW w:w="1908" w:type="dxa"/>
            <w:vAlign w:val="center"/>
          </w:tcPr>
          <w:p w:rsidR="00914E26" w:rsidRPr="00405755" w:rsidRDefault="00914E26" w:rsidP="00914E26">
            <w:pPr>
              <w:pStyle w:val="Tabletext"/>
            </w:pPr>
          </w:p>
        </w:tc>
        <w:tc>
          <w:tcPr>
            <w:tcW w:w="3576" w:type="dxa"/>
            <w:vAlign w:val="center"/>
          </w:tcPr>
          <w:p w:rsidR="00914E26" w:rsidRPr="00405755" w:rsidRDefault="00914E26" w:rsidP="00914E26">
            <w:pPr>
              <w:pStyle w:val="Tabletext"/>
            </w:pPr>
          </w:p>
        </w:tc>
        <w:tc>
          <w:tcPr>
            <w:tcW w:w="5001" w:type="dxa"/>
            <w:vAlign w:val="center"/>
          </w:tcPr>
          <w:p w:rsidR="00914E26" w:rsidRPr="00405755" w:rsidRDefault="00914E26" w:rsidP="00914E26">
            <w:pPr>
              <w:pStyle w:val="Tabletext"/>
            </w:pPr>
          </w:p>
        </w:tc>
      </w:tr>
      <w:tr w:rsidR="005E4659" w:rsidRPr="00405755" w:rsidTr="005E4659">
        <w:trPr>
          <w:trHeight w:val="851"/>
        </w:trPr>
        <w:tc>
          <w:tcPr>
            <w:tcW w:w="1908" w:type="dxa"/>
            <w:vAlign w:val="center"/>
          </w:tcPr>
          <w:p w:rsidR="00914E26" w:rsidRPr="00405755" w:rsidRDefault="00914E26" w:rsidP="00914E26">
            <w:pPr>
              <w:pStyle w:val="Tabletext"/>
            </w:pPr>
          </w:p>
        </w:tc>
        <w:tc>
          <w:tcPr>
            <w:tcW w:w="3576" w:type="dxa"/>
            <w:vAlign w:val="center"/>
          </w:tcPr>
          <w:p w:rsidR="00914E26" w:rsidRPr="00405755" w:rsidRDefault="00914E26" w:rsidP="00914E26">
            <w:pPr>
              <w:pStyle w:val="Tabletext"/>
            </w:pPr>
          </w:p>
        </w:tc>
        <w:tc>
          <w:tcPr>
            <w:tcW w:w="5001" w:type="dxa"/>
            <w:vAlign w:val="center"/>
          </w:tcPr>
          <w:p w:rsidR="00914E26" w:rsidRPr="00405755" w:rsidRDefault="00914E26" w:rsidP="00914E26">
            <w:pPr>
              <w:pStyle w:val="Tabletext"/>
            </w:pPr>
          </w:p>
        </w:tc>
      </w:tr>
      <w:tr w:rsidR="005E4659" w:rsidRPr="00405755" w:rsidTr="005E4659">
        <w:trPr>
          <w:trHeight w:val="851"/>
        </w:trPr>
        <w:tc>
          <w:tcPr>
            <w:tcW w:w="1908" w:type="dxa"/>
            <w:vAlign w:val="center"/>
          </w:tcPr>
          <w:p w:rsidR="00914E26" w:rsidRPr="00405755" w:rsidRDefault="00914E26" w:rsidP="00914E26">
            <w:pPr>
              <w:pStyle w:val="Tabletext"/>
            </w:pPr>
          </w:p>
        </w:tc>
        <w:tc>
          <w:tcPr>
            <w:tcW w:w="3576" w:type="dxa"/>
            <w:vAlign w:val="center"/>
          </w:tcPr>
          <w:p w:rsidR="00914E26" w:rsidRPr="00405755" w:rsidRDefault="00914E26" w:rsidP="00914E26">
            <w:pPr>
              <w:pStyle w:val="Tabletext"/>
            </w:pPr>
          </w:p>
        </w:tc>
        <w:tc>
          <w:tcPr>
            <w:tcW w:w="5001" w:type="dxa"/>
            <w:vAlign w:val="center"/>
          </w:tcPr>
          <w:p w:rsidR="00914E26" w:rsidRPr="00405755" w:rsidRDefault="00914E26" w:rsidP="00914E26">
            <w:pPr>
              <w:pStyle w:val="Tabletext"/>
            </w:pPr>
          </w:p>
        </w:tc>
      </w:tr>
    </w:tbl>
    <w:p w:rsidR="005E4659" w:rsidRPr="00405755" w:rsidRDefault="005E4659" w:rsidP="00914E26">
      <w:pPr>
        <w:spacing w:after="200" w:line="276" w:lineRule="auto"/>
        <w:sectPr w:rsidR="005E4659" w:rsidRPr="00405755" w:rsidSect="00111E0A">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rsidR="001B7940" w:rsidRPr="00405755" w:rsidRDefault="001B7940" w:rsidP="001B7940">
      <w:pPr>
        <w:pStyle w:val="THECOUNCIL"/>
      </w:pPr>
      <w:bookmarkStart w:id="1" w:name="_Toc442255952"/>
      <w:r w:rsidRPr="00405755">
        <w:lastRenderedPageBreak/>
        <w:t xml:space="preserve">THE </w:t>
      </w:r>
      <w:r w:rsidR="00163F01">
        <w:t xml:space="preserve">IALA </w:t>
      </w:r>
      <w:r w:rsidRPr="00405755">
        <w:t>COUNCIL</w:t>
      </w:r>
    </w:p>
    <w:bookmarkEnd w:id="1"/>
    <w:p w:rsidR="00163F01" w:rsidRDefault="00163F01" w:rsidP="00163F01">
      <w:pPr>
        <w:pStyle w:val="Noting"/>
      </w:pPr>
      <w:r w:rsidRPr="004A484C">
        <w:rPr>
          <w:b/>
        </w:rPr>
        <w:t>RECALLING</w:t>
      </w:r>
      <w:r>
        <w:t>:</w:t>
      </w:r>
    </w:p>
    <w:p w:rsidR="00163F01" w:rsidRDefault="00163F01" w:rsidP="00163F01">
      <w:pPr>
        <w:pStyle w:val="List1-recommendation"/>
      </w:pPr>
      <w:r w:rsidRPr="00470488">
        <w:t>T</w:t>
      </w:r>
      <w:r w:rsidRPr="00DC58FA">
        <w:t>he function of IALA with respect to Safety of Navigation, the efficiency of maritime transport and the protection of the environment</w:t>
      </w:r>
      <w:r>
        <w:t>.</w:t>
      </w:r>
    </w:p>
    <w:p w:rsidR="00163F01" w:rsidRDefault="00163F01" w:rsidP="00163F01">
      <w:pPr>
        <w:pStyle w:val="List1-recommendation"/>
      </w:pPr>
      <w:r>
        <w:t>Article 8 of the IALA</w:t>
      </w:r>
      <w:r w:rsidRPr="00A326AC">
        <w:t xml:space="preserve"> Constitution regarding the authority, duties and functions of the Council</w:t>
      </w:r>
      <w:r>
        <w:t>.</w:t>
      </w:r>
    </w:p>
    <w:p w:rsidR="00163F01" w:rsidRDefault="00163F01" w:rsidP="00163F01">
      <w:pPr>
        <w:pStyle w:val="Noting"/>
      </w:pPr>
      <w:r>
        <w:rPr>
          <w:b/>
        </w:rPr>
        <w:t>RECOGNISING</w:t>
      </w:r>
      <w:r>
        <w:t>:</w:t>
      </w:r>
    </w:p>
    <w:p w:rsidR="00163F01" w:rsidRPr="00166C2E" w:rsidRDefault="00163F01" w:rsidP="00163F01">
      <w:pPr>
        <w:pStyle w:val="List1-recommendation"/>
        <w:numPr>
          <w:ilvl w:val="0"/>
          <w:numId w:val="35"/>
        </w:numPr>
      </w:pPr>
      <w:r>
        <w:t xml:space="preserve">that </w:t>
      </w:r>
      <w:r w:rsidRPr="00FC3A01">
        <w:t>some Authorities require only a method (the Standard Code) whereby an aid can be detected with a degree of identification, especially for lateral marks. Others, such as the Scandinavian countries with complicated channels and archipelagos frequented by small craft, require a method (the Comprehensive Code) giving more de</w:t>
      </w:r>
      <w:r>
        <w:t>tailed identification of an aid.</w:t>
      </w:r>
    </w:p>
    <w:p w:rsidR="00163F01" w:rsidRDefault="00163F01" w:rsidP="00550064">
      <w:pPr>
        <w:pStyle w:val="List1-recommendation"/>
      </w:pPr>
      <w:r>
        <w:t>t</w:t>
      </w:r>
      <w:r w:rsidRPr="00FC3A01">
        <w:t>hat, as retroreflecting material which appears as black by day shows as white when illuminated at night, blue material should be used in the Comprehensive Code as being the best compromise where black day colour is appropriate</w:t>
      </w:r>
      <w:r>
        <w:t>.</w:t>
      </w:r>
    </w:p>
    <w:p w:rsidR="00163F01" w:rsidRPr="00163F01" w:rsidRDefault="00A03543" w:rsidP="00163F01">
      <w:pPr>
        <w:pStyle w:val="Noting"/>
        <w:rPr>
          <w:b/>
        </w:rPr>
      </w:pPr>
      <w:r w:rsidRPr="00284152">
        <w:rPr>
          <w:b/>
        </w:rPr>
        <w:t>NOTING</w:t>
      </w:r>
      <w:r w:rsidR="00163F01">
        <w:rPr>
          <w:b/>
        </w:rPr>
        <w:t>:</w:t>
      </w:r>
    </w:p>
    <w:p w:rsidR="00163F01" w:rsidRPr="00166C2E" w:rsidRDefault="00163F01" w:rsidP="00163F01">
      <w:pPr>
        <w:pStyle w:val="List1-recommendation"/>
        <w:numPr>
          <w:ilvl w:val="0"/>
          <w:numId w:val="36"/>
        </w:numPr>
      </w:pPr>
      <w:r w:rsidRPr="00FC3A01">
        <w:t>that the use of retroreflecting material on aids to navigation is becoming increasingly widespread parti</w:t>
      </w:r>
      <w:r>
        <w:t>cularly in the case of unli</w:t>
      </w:r>
      <w:r w:rsidR="00550064">
        <w:t>ghted</w:t>
      </w:r>
      <w:r w:rsidRPr="00FC3A01">
        <w:t xml:space="preserve"> aids where the projection of a light</w:t>
      </w:r>
      <w:r>
        <w:t xml:space="preserve"> by a user</w:t>
      </w:r>
      <w:r w:rsidRPr="00FC3A01">
        <w:t xml:space="preserve">, </w:t>
      </w:r>
      <w:r>
        <w:t>(</w:t>
      </w:r>
      <w:r w:rsidRPr="00FC3A01">
        <w:t>which may range from a hand-held spotlight to a powerful searchlight</w:t>
      </w:r>
      <w:r>
        <w:t>)</w:t>
      </w:r>
      <w:r w:rsidRPr="00FC3A01">
        <w:t xml:space="preserve">, can </w:t>
      </w:r>
      <w:r w:rsidR="00550064">
        <w:t xml:space="preserve">assist to </w:t>
      </w:r>
      <w:r w:rsidRPr="00FC3A01">
        <w:t xml:space="preserve"> </w:t>
      </w:r>
      <w:r>
        <w:t>locate an aid and enhance identification of that aid.</w:t>
      </w:r>
    </w:p>
    <w:p w:rsidR="00163F01" w:rsidRDefault="00163F01" w:rsidP="00163F01">
      <w:pPr>
        <w:pStyle w:val="List1-recommendation"/>
      </w:pPr>
      <w:r w:rsidRPr="00FC3A01">
        <w:t xml:space="preserve">the need to harmonise the ways in which retroreflecting material </w:t>
      </w:r>
      <w:r>
        <w:t>are</w:t>
      </w:r>
      <w:r w:rsidRPr="00FC3A01">
        <w:t xml:space="preserve"> used</w:t>
      </w:r>
      <w:r>
        <w:t>.</w:t>
      </w:r>
    </w:p>
    <w:p w:rsidR="00A03543" w:rsidRDefault="00A03543" w:rsidP="00A03543">
      <w:pPr>
        <w:pStyle w:val="Noting"/>
      </w:pPr>
      <w:r w:rsidRPr="00FC3A01">
        <w:rPr>
          <w:b/>
        </w:rPr>
        <w:t xml:space="preserve">ADOPTS </w:t>
      </w:r>
      <w:r w:rsidRPr="00FC3A01">
        <w:t>th</w:t>
      </w:r>
      <w:r w:rsidR="00550064">
        <w:t>e</w:t>
      </w:r>
      <w:r w:rsidRPr="00FC3A01">
        <w:t xml:space="preserve"> Recommen</w:t>
      </w:r>
      <w:r>
        <w:t xml:space="preserve">dation, </w:t>
      </w:r>
      <w:r w:rsidR="00550064">
        <w:t xml:space="preserve">as described below </w:t>
      </w:r>
      <w:r>
        <w:t xml:space="preserve">as the codes to be </w:t>
      </w:r>
      <w:r w:rsidRPr="00FC3A01">
        <w:t>used for marking aids to navigation by retroreflecting material;</w:t>
      </w:r>
    </w:p>
    <w:p w:rsidR="00163F01" w:rsidRDefault="00163F01" w:rsidP="00A03543">
      <w:pPr>
        <w:pStyle w:val="Noting"/>
      </w:pPr>
      <w:r>
        <w:rPr>
          <w:b/>
        </w:rPr>
        <w:t xml:space="preserve">CONSIDERING </w:t>
      </w:r>
      <w:r w:rsidRPr="00405755">
        <w:t xml:space="preserve">the </w:t>
      </w:r>
      <w:r>
        <w:t>proposals</w:t>
      </w:r>
      <w:r w:rsidRPr="00A326AC">
        <w:t xml:space="preserve"> of the </w:t>
      </w:r>
      <w:r>
        <w:t>IALA Engineering and Sustainability Committee</w:t>
      </w:r>
      <w:r w:rsidR="00550064">
        <w:t xml:space="preserve"> and </w:t>
      </w:r>
      <w:r w:rsidR="00550064" w:rsidRPr="00CF436F">
        <w:t>th</w:t>
      </w:r>
      <w:r w:rsidR="00550064">
        <w:t>e</w:t>
      </w:r>
      <w:r w:rsidR="00550064" w:rsidRPr="00CF436F">
        <w:t xml:space="preserve"> </w:t>
      </w:r>
      <w:r w:rsidR="00550064" w:rsidRPr="00FC3A01">
        <w:t>results of trials carried out to determine how retro</w:t>
      </w:r>
      <w:r w:rsidR="00550064">
        <w:t>re</w:t>
      </w:r>
      <w:r w:rsidR="00550064" w:rsidRPr="00FC3A01">
        <w:t>flecting material could be best displayed on aids to navigation to give the optimum information to the mariner without incurring undue increased maintenance problems for the Authority</w:t>
      </w:r>
    </w:p>
    <w:p w:rsidR="00163F01" w:rsidRPr="00FC3A01" w:rsidRDefault="00163F01" w:rsidP="00550064">
      <w:pPr>
        <w:pStyle w:val="Noting"/>
      </w:pPr>
      <w:r>
        <w:rPr>
          <w:b/>
        </w:rPr>
        <w:t>INVITES</w:t>
      </w:r>
      <w:r w:rsidRPr="00405755">
        <w:t xml:space="preserve"> </w:t>
      </w:r>
      <w:r w:rsidRPr="00A326AC">
        <w:t>Members and marine aids to navigation authorities worldwide to implement the provisions of the Recommendati</w:t>
      </w:r>
      <w:r>
        <w:t>on</w:t>
      </w:r>
      <w:r w:rsidRPr="00405755">
        <w:t>,</w:t>
      </w:r>
    </w:p>
    <w:p w:rsidR="00A03543" w:rsidRPr="00CF436F" w:rsidRDefault="00A03543" w:rsidP="00A03543">
      <w:pPr>
        <w:pStyle w:val="Noting"/>
        <w:rPr>
          <w:rFonts w:ascii="Arial" w:hAnsi="Arial"/>
        </w:rPr>
      </w:pPr>
      <w:r w:rsidRPr="00CF436F">
        <w:rPr>
          <w:b/>
        </w:rPr>
        <w:t>RECOMMENDS</w:t>
      </w:r>
      <w:r w:rsidR="009C642A">
        <w:t xml:space="preserve"> </w:t>
      </w:r>
      <w:r w:rsidR="009C642A" w:rsidRPr="00460028">
        <w:t xml:space="preserve">National </w:t>
      </w:r>
      <w:r w:rsidR="009C642A">
        <w:t>m</w:t>
      </w:r>
      <w:r w:rsidR="009C642A" w:rsidRPr="00460028">
        <w:t>embers and other appropriate Authorities providing mar</w:t>
      </w:r>
      <w:r w:rsidR="009C642A">
        <w:t>ine aids to navigation services comply with</w:t>
      </w:r>
      <w:r w:rsidR="009C642A" w:rsidRPr="009C642A">
        <w:t xml:space="preserve"> </w:t>
      </w:r>
      <w:r w:rsidR="009C642A" w:rsidRPr="00A03543">
        <w:t>either the Standard Code or Comprehensive Code</w:t>
      </w:r>
      <w:r w:rsidR="00C81A54">
        <w:t xml:space="preserve"> in Annex A</w:t>
      </w:r>
      <w:r w:rsidR="009C642A" w:rsidRPr="00A03543">
        <w:t xml:space="preserve">, as </w:t>
      </w:r>
      <w:r w:rsidR="009C642A">
        <w:t>appropriate and promulgate this information through maritime publications.</w:t>
      </w:r>
    </w:p>
    <w:p w:rsidR="00A03543" w:rsidRDefault="00A03543" w:rsidP="00C81A54">
      <w:pPr>
        <w:pStyle w:val="Bullet2-recommendation"/>
        <w:numPr>
          <w:ilvl w:val="0"/>
          <w:numId w:val="0"/>
        </w:numPr>
        <w:ind w:left="1418"/>
      </w:pPr>
      <w:bookmarkStart w:id="2" w:name="_Ref361228803"/>
      <w:bookmarkStart w:id="3" w:name="_Toc359496675"/>
      <w:bookmarkEnd w:id="2"/>
      <w:bookmarkEnd w:id="3"/>
    </w:p>
    <w:p w:rsidR="00916E19" w:rsidRDefault="00916E19" w:rsidP="00916E19">
      <w:pPr>
        <w:pStyle w:val="Bullet1-recommendation"/>
        <w:numPr>
          <w:ilvl w:val="0"/>
          <w:numId w:val="0"/>
        </w:numPr>
        <w:ind w:left="992" w:hanging="425"/>
      </w:pPr>
    </w:p>
    <w:p w:rsidR="00916E19" w:rsidRDefault="00916E19" w:rsidP="00916E19">
      <w:pPr>
        <w:pStyle w:val="Bullet1-recommendation"/>
        <w:numPr>
          <w:ilvl w:val="0"/>
          <w:numId w:val="0"/>
        </w:numPr>
        <w:ind w:left="992" w:hanging="425"/>
      </w:pPr>
    </w:p>
    <w:p w:rsidR="00885E37" w:rsidRDefault="00885E37" w:rsidP="00885E37">
      <w:pPr>
        <w:pStyle w:val="Annex"/>
        <w:rPr>
          <w:caps w:val="0"/>
        </w:rPr>
      </w:pPr>
    </w:p>
    <w:p w:rsidR="00EA2E87" w:rsidRDefault="00885E37" w:rsidP="00885E37">
      <w:pPr>
        <w:pStyle w:val="AnnexAHead1"/>
        <w:jc w:val="center"/>
      </w:pPr>
      <w:bookmarkStart w:id="4" w:name="_Toc448328777"/>
      <w:r w:rsidRPr="00A06FBA">
        <w:rPr>
          <w:rFonts w:eastAsia="Times New Roman"/>
        </w:rPr>
        <w:t>Standard Code</w:t>
      </w:r>
      <w:bookmarkEnd w:id="4"/>
    </w:p>
    <w:p w:rsidR="00477580" w:rsidRDefault="00477580" w:rsidP="00885E37">
      <w:pPr>
        <w:pStyle w:val="BodyText"/>
        <w:jc w:val="center"/>
      </w:pPr>
    </w:p>
    <w:tbl>
      <w:tblPr>
        <w:tblStyle w:val="TableGrid"/>
        <w:tblW w:w="0" w:type="auto"/>
        <w:tblInd w:w="709" w:type="dxa"/>
        <w:tblLook w:val="04A0" w:firstRow="1" w:lastRow="0" w:firstColumn="1" w:lastColumn="0" w:noHBand="0" w:noVBand="1"/>
      </w:tblPr>
      <w:tblGrid>
        <w:gridCol w:w="4871"/>
        <w:gridCol w:w="4841"/>
      </w:tblGrid>
      <w:tr w:rsidR="00323F5D" w:rsidTr="00477580">
        <w:trPr>
          <w:trHeight w:val="472"/>
        </w:trPr>
        <w:tc>
          <w:tcPr>
            <w:tcW w:w="5210" w:type="dxa"/>
          </w:tcPr>
          <w:p w:rsidR="00477580" w:rsidRPr="00EA2E87" w:rsidRDefault="00EA2E87" w:rsidP="0024236C">
            <w:pPr>
              <w:pStyle w:val="AnnexAHead1"/>
              <w:numPr>
                <w:ilvl w:val="0"/>
                <w:numId w:val="0"/>
              </w:numPr>
              <w:rPr>
                <w:sz w:val="20"/>
                <w:szCs w:val="20"/>
              </w:rPr>
            </w:pPr>
            <w:r w:rsidRPr="00EA2E87">
              <w:rPr>
                <w:color w:val="auto"/>
                <w:sz w:val="20"/>
                <w:szCs w:val="20"/>
              </w:rPr>
              <w:t xml:space="preserve">c: Colour of the </w:t>
            </w:r>
            <w:r w:rsidR="0024236C">
              <w:rPr>
                <w:color w:val="auto"/>
                <w:sz w:val="20"/>
                <w:szCs w:val="20"/>
              </w:rPr>
              <w:t>MARK</w:t>
            </w:r>
            <w:r w:rsidRPr="00EA2E87">
              <w:rPr>
                <w:color w:val="auto"/>
                <w:sz w:val="20"/>
                <w:szCs w:val="20"/>
              </w:rPr>
              <w:t xml:space="preserve">,                                                     r: Retroreflecting material  </w:t>
            </w:r>
          </w:p>
        </w:tc>
        <w:tc>
          <w:tcPr>
            <w:tcW w:w="5211" w:type="dxa"/>
          </w:tcPr>
          <w:p w:rsidR="00477580" w:rsidRPr="00EA2E87" w:rsidRDefault="00EA2E87" w:rsidP="00477580">
            <w:pPr>
              <w:pStyle w:val="AnnexAHead1"/>
              <w:numPr>
                <w:ilvl w:val="0"/>
                <w:numId w:val="0"/>
              </w:numPr>
              <w:spacing w:before="0" w:after="0"/>
              <w:rPr>
                <w:sz w:val="32"/>
                <w:szCs w:val="32"/>
              </w:rPr>
            </w:pPr>
            <w:r w:rsidRPr="00EA2E87">
              <w:rPr>
                <w:color w:val="auto"/>
                <w:sz w:val="32"/>
                <w:szCs w:val="32"/>
              </w:rPr>
              <w:t>Standard Code</w:t>
            </w:r>
          </w:p>
        </w:tc>
      </w:tr>
      <w:tr w:rsidR="00323F5D" w:rsidTr="00477580">
        <w:tc>
          <w:tcPr>
            <w:tcW w:w="5210" w:type="dxa"/>
          </w:tcPr>
          <w:p w:rsidR="00477580" w:rsidRDefault="00477580" w:rsidP="00C81A54">
            <w:pPr>
              <w:pStyle w:val="AnnexAHead1"/>
              <w:numPr>
                <w:ilvl w:val="0"/>
                <w:numId w:val="0"/>
              </w:numPr>
            </w:pPr>
            <w:r w:rsidRPr="00477580">
              <w:rPr>
                <w:color w:val="auto"/>
              </w:rPr>
              <w:t>Aspect by Night</w:t>
            </w:r>
          </w:p>
        </w:tc>
        <w:tc>
          <w:tcPr>
            <w:tcW w:w="5211" w:type="dxa"/>
          </w:tcPr>
          <w:p w:rsidR="00477580" w:rsidRDefault="00477580" w:rsidP="00C81A54">
            <w:pPr>
              <w:pStyle w:val="AnnexAHead1"/>
              <w:numPr>
                <w:ilvl w:val="0"/>
                <w:numId w:val="0"/>
              </w:numPr>
            </w:pPr>
            <w:r w:rsidRPr="00477580">
              <w:rPr>
                <w:color w:val="auto"/>
              </w:rPr>
              <w:t>Type of Mark and Code</w:t>
            </w:r>
          </w:p>
        </w:tc>
      </w:tr>
      <w:tr w:rsidR="00323F5D" w:rsidTr="00477580">
        <w:tc>
          <w:tcPr>
            <w:tcW w:w="5210" w:type="dxa"/>
          </w:tcPr>
          <w:p w:rsidR="00477580" w:rsidRDefault="00477580" w:rsidP="00C81A54">
            <w:pPr>
              <w:pStyle w:val="AnnexAHead1"/>
              <w:numPr>
                <w:ilvl w:val="0"/>
                <w:numId w:val="0"/>
              </w:numPr>
            </w:pPr>
          </w:p>
          <w:p w:rsidR="00477580" w:rsidRPr="00477580" w:rsidRDefault="00323F5D" w:rsidP="00323F5D">
            <w:pPr>
              <w:pStyle w:val="BodyText"/>
              <w:jc w:val="center"/>
              <w:rPr>
                <w:lang w:eastAsia="en-GB"/>
              </w:rPr>
            </w:pPr>
            <w:r>
              <w:rPr>
                <w:noProof/>
                <w:lang w:val="en-IE" w:eastAsia="en-IE"/>
              </w:rPr>
              <w:drawing>
                <wp:inline distT="0" distB="0" distL="0" distR="0" wp14:anchorId="700AA3F9" wp14:editId="63417500">
                  <wp:extent cx="1052157" cy="2565070"/>
                  <wp:effectExtent l="0" t="0" r="0" b="6985"/>
                  <wp:docPr id="4"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52223" cy="2565231"/>
                          </a:xfrm>
                          <a:prstGeom prst="rect">
                            <a:avLst/>
                          </a:prstGeom>
                          <a:noFill/>
                          <a:ln>
                            <a:noFill/>
                          </a:ln>
                        </pic:spPr>
                      </pic:pic>
                    </a:graphicData>
                  </a:graphic>
                </wp:inline>
              </w:drawing>
            </w:r>
          </w:p>
        </w:tc>
        <w:tc>
          <w:tcPr>
            <w:tcW w:w="5211" w:type="dxa"/>
          </w:tcPr>
          <w:p w:rsidR="00AD22D8" w:rsidRPr="00AD22D8" w:rsidRDefault="00AD22D8" w:rsidP="00AD22D8">
            <w:pPr>
              <w:spacing w:line="240" w:lineRule="auto"/>
              <w:jc w:val="center"/>
              <w:rPr>
                <w:rFonts w:ascii="Times New Roman" w:eastAsia="Times New Roman" w:hAnsi="Times New Roman" w:cs="Times New Roman"/>
                <w:sz w:val="24"/>
                <w:szCs w:val="24"/>
                <w:lang w:eastAsia="en-GB"/>
              </w:rPr>
            </w:pPr>
            <w:r w:rsidRPr="00AD22D8">
              <w:rPr>
                <w:rFonts w:ascii="Calibri" w:eastAsia="+mn-ea" w:hAnsi="Calibri" w:cs="+mn-cs"/>
                <w:b/>
                <w:bCs/>
                <w:i/>
                <w:iCs/>
                <w:color w:val="000000"/>
                <w:kern w:val="24"/>
                <w:sz w:val="24"/>
                <w:szCs w:val="24"/>
                <w:lang w:val="da-DK" w:eastAsia="en-GB"/>
              </w:rPr>
              <w:t>Red Lateral Marks</w:t>
            </w:r>
          </w:p>
          <w:p w:rsidR="00AD22D8" w:rsidRPr="00AD22D8" w:rsidRDefault="00AD22D8" w:rsidP="00AD22D8">
            <w:pPr>
              <w:spacing w:line="240" w:lineRule="auto"/>
              <w:rPr>
                <w:rFonts w:ascii="Times New Roman" w:eastAsia="Times New Roman" w:hAnsi="Times New Roman" w:cs="Times New Roman"/>
                <w:sz w:val="24"/>
                <w:szCs w:val="24"/>
                <w:lang w:eastAsia="en-GB"/>
              </w:rPr>
            </w:pPr>
            <w:r w:rsidRPr="00AD22D8">
              <w:rPr>
                <w:rFonts w:ascii="Calibri" w:eastAsia="+mn-ea" w:hAnsi="Calibri" w:cs="+mn-cs"/>
                <w:color w:val="000000"/>
                <w:kern w:val="24"/>
                <w:sz w:val="24"/>
                <w:szCs w:val="24"/>
                <w:lang w:val="da-DK" w:eastAsia="en-GB"/>
              </w:rPr>
              <w:t>One red band or red shape; i.e. a square in Buoyage Region A or a triangle in Buoyage Region B.</w:t>
            </w:r>
          </w:p>
          <w:p w:rsidR="00477580" w:rsidRPr="00AD22D8" w:rsidRDefault="00477580" w:rsidP="00C81A54">
            <w:pPr>
              <w:pStyle w:val="AnnexAHead1"/>
              <w:numPr>
                <w:ilvl w:val="0"/>
                <w:numId w:val="0"/>
              </w:numPr>
              <w:rPr>
                <w:sz w:val="22"/>
              </w:rPr>
            </w:pPr>
          </w:p>
        </w:tc>
      </w:tr>
      <w:tr w:rsidR="00323F5D" w:rsidTr="00477580">
        <w:tc>
          <w:tcPr>
            <w:tcW w:w="5210" w:type="dxa"/>
          </w:tcPr>
          <w:p w:rsidR="00477580" w:rsidRDefault="00323F5D" w:rsidP="00323F5D">
            <w:pPr>
              <w:pStyle w:val="AnnexAHead1"/>
              <w:numPr>
                <w:ilvl w:val="0"/>
                <w:numId w:val="0"/>
              </w:numPr>
              <w:jc w:val="center"/>
            </w:pPr>
            <w:r>
              <w:rPr>
                <w:noProof/>
                <w:lang w:val="en-IE" w:eastAsia="en-IE"/>
              </w:rPr>
              <w:drawing>
                <wp:inline distT="0" distB="0" distL="0" distR="0" wp14:anchorId="61327044" wp14:editId="6709D6CA">
                  <wp:extent cx="1068779" cy="2632037"/>
                  <wp:effectExtent l="0" t="0" r="0" b="0"/>
                  <wp:docPr id="7" name="Bille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82576" cy="2666014"/>
                          </a:xfrm>
                          <a:prstGeom prst="rect">
                            <a:avLst/>
                          </a:prstGeom>
                          <a:noFill/>
                          <a:ln>
                            <a:noFill/>
                          </a:ln>
                        </pic:spPr>
                      </pic:pic>
                    </a:graphicData>
                  </a:graphic>
                </wp:inline>
              </w:drawing>
            </w:r>
          </w:p>
        </w:tc>
        <w:tc>
          <w:tcPr>
            <w:tcW w:w="5211" w:type="dxa"/>
          </w:tcPr>
          <w:p w:rsidR="00AD22D8" w:rsidRPr="00AD22D8" w:rsidRDefault="00AD22D8" w:rsidP="00AD22D8">
            <w:pPr>
              <w:spacing w:line="240" w:lineRule="auto"/>
              <w:jc w:val="center"/>
              <w:rPr>
                <w:rFonts w:ascii="Times New Roman" w:eastAsia="Times New Roman" w:hAnsi="Times New Roman" w:cs="Times New Roman"/>
                <w:sz w:val="24"/>
                <w:szCs w:val="24"/>
                <w:lang w:eastAsia="en-GB"/>
              </w:rPr>
            </w:pPr>
            <w:r w:rsidRPr="00AD22D8">
              <w:rPr>
                <w:rFonts w:ascii="Calibri" w:eastAsia="+mn-ea" w:hAnsi="Calibri" w:cs="+mn-cs"/>
                <w:b/>
                <w:bCs/>
                <w:i/>
                <w:iCs/>
                <w:color w:val="000000"/>
                <w:kern w:val="24"/>
                <w:sz w:val="24"/>
                <w:szCs w:val="24"/>
                <w:lang w:val="da-DK" w:eastAsia="en-GB"/>
              </w:rPr>
              <w:t>Green Lateral Marks</w:t>
            </w:r>
          </w:p>
          <w:p w:rsidR="00AD22D8" w:rsidRDefault="00AD22D8" w:rsidP="00AD22D8">
            <w:pPr>
              <w:spacing w:line="240" w:lineRule="auto"/>
              <w:rPr>
                <w:rFonts w:ascii="Calibri" w:eastAsia="+mn-ea" w:hAnsi="Calibri" w:cs="+mn-cs"/>
                <w:color w:val="000000"/>
                <w:kern w:val="24"/>
                <w:sz w:val="24"/>
                <w:szCs w:val="24"/>
                <w:lang w:val="da-DK" w:eastAsia="en-GB"/>
              </w:rPr>
            </w:pPr>
            <w:r w:rsidRPr="00AD22D8">
              <w:rPr>
                <w:rFonts w:ascii="Calibri" w:eastAsia="+mn-ea" w:hAnsi="Calibri" w:cs="+mn-cs"/>
                <w:color w:val="000000"/>
                <w:kern w:val="24"/>
                <w:sz w:val="24"/>
                <w:szCs w:val="24"/>
                <w:lang w:val="da-DK" w:eastAsia="en-GB"/>
              </w:rPr>
              <w:t>One green band or green shape; i.e. a triangle in</w:t>
            </w:r>
            <w:r w:rsidR="00AF57DB">
              <w:rPr>
                <w:rFonts w:ascii="Times New Roman" w:eastAsia="Times New Roman" w:hAnsi="Times New Roman" w:cs="Times New Roman"/>
                <w:sz w:val="24"/>
                <w:szCs w:val="24"/>
                <w:lang w:eastAsia="en-GB"/>
              </w:rPr>
              <w:t xml:space="preserve"> </w:t>
            </w:r>
            <w:r w:rsidRPr="00AD22D8">
              <w:rPr>
                <w:rFonts w:ascii="Calibri" w:eastAsia="+mn-ea" w:hAnsi="Calibri" w:cs="+mn-cs"/>
                <w:color w:val="000000"/>
                <w:kern w:val="24"/>
                <w:sz w:val="24"/>
                <w:szCs w:val="24"/>
                <w:lang w:val="da-DK" w:eastAsia="en-GB"/>
              </w:rPr>
              <w:t>Buoyage Region A or a square in Buoyage Region B.</w:t>
            </w:r>
          </w:p>
          <w:p w:rsidR="00AF57DB" w:rsidRPr="00A06FBA" w:rsidRDefault="00AF57DB" w:rsidP="00AD22D8">
            <w:pPr>
              <w:spacing w:line="240" w:lineRule="auto"/>
              <w:rPr>
                <w:rFonts w:eastAsia="Times New Roman" w:cs="Times New Roman"/>
                <w:sz w:val="24"/>
                <w:szCs w:val="24"/>
                <w:lang w:eastAsia="en-GB"/>
              </w:rPr>
            </w:pPr>
            <w:r w:rsidRPr="00A06FBA">
              <w:rPr>
                <w:rFonts w:eastAsia="Times New Roman" w:cs="Times New Roman"/>
                <w:sz w:val="24"/>
                <w:szCs w:val="24"/>
                <w:lang w:eastAsia="en-GB"/>
              </w:rPr>
              <w:t>In principle, green buoys should carry only one green band</w:t>
            </w:r>
          </w:p>
          <w:p w:rsidR="00477580" w:rsidRPr="00AD22D8" w:rsidRDefault="00477580" w:rsidP="00C81A54">
            <w:pPr>
              <w:pStyle w:val="AnnexAHead1"/>
              <w:numPr>
                <w:ilvl w:val="0"/>
                <w:numId w:val="0"/>
              </w:numPr>
              <w:rPr>
                <w:sz w:val="20"/>
                <w:szCs w:val="20"/>
              </w:rPr>
            </w:pPr>
          </w:p>
        </w:tc>
      </w:tr>
      <w:tr w:rsidR="00323F5D" w:rsidTr="00477580">
        <w:tc>
          <w:tcPr>
            <w:tcW w:w="5210" w:type="dxa"/>
          </w:tcPr>
          <w:p w:rsidR="00477580" w:rsidRDefault="00323F5D" w:rsidP="00323F5D">
            <w:pPr>
              <w:pStyle w:val="AnnexAHead1"/>
              <w:numPr>
                <w:ilvl w:val="0"/>
                <w:numId w:val="0"/>
              </w:numPr>
              <w:jc w:val="center"/>
            </w:pPr>
            <w:r>
              <w:rPr>
                <w:noProof/>
                <w:lang w:val="en-IE" w:eastAsia="en-IE"/>
              </w:rPr>
              <w:lastRenderedPageBreak/>
              <w:drawing>
                <wp:inline distT="0" distB="0" distL="0" distR="0" wp14:anchorId="7F81E769" wp14:editId="359793CB">
                  <wp:extent cx="1086736" cy="2541319"/>
                  <wp:effectExtent l="0" t="0" r="0" b="0"/>
                  <wp:docPr id="8" name="Billed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86570" cy="2540931"/>
                          </a:xfrm>
                          <a:prstGeom prst="rect">
                            <a:avLst/>
                          </a:prstGeom>
                          <a:noFill/>
                          <a:ln>
                            <a:noFill/>
                          </a:ln>
                        </pic:spPr>
                      </pic:pic>
                    </a:graphicData>
                  </a:graphic>
                </wp:inline>
              </w:drawing>
            </w:r>
          </w:p>
        </w:tc>
        <w:tc>
          <w:tcPr>
            <w:tcW w:w="5211" w:type="dxa"/>
          </w:tcPr>
          <w:p w:rsidR="00AD22D8" w:rsidRPr="00AD22D8" w:rsidRDefault="00AD22D8" w:rsidP="00AD22D8">
            <w:pPr>
              <w:spacing w:line="240" w:lineRule="auto"/>
              <w:jc w:val="center"/>
              <w:rPr>
                <w:rFonts w:ascii="Times New Roman" w:eastAsia="Times New Roman" w:hAnsi="Times New Roman" w:cs="Times New Roman"/>
                <w:sz w:val="24"/>
                <w:szCs w:val="24"/>
                <w:lang w:eastAsia="en-GB"/>
              </w:rPr>
            </w:pPr>
            <w:r w:rsidRPr="00AD22D8">
              <w:rPr>
                <w:rFonts w:ascii="Calibri" w:eastAsia="+mn-ea" w:hAnsi="Calibri" w:cs="+mn-cs"/>
                <w:b/>
                <w:bCs/>
                <w:i/>
                <w:iCs/>
                <w:color w:val="000000"/>
                <w:kern w:val="24"/>
                <w:sz w:val="24"/>
                <w:szCs w:val="24"/>
                <w:lang w:val="da-DK" w:eastAsia="en-GB"/>
              </w:rPr>
              <w:t>Yellow Special Marks</w:t>
            </w:r>
          </w:p>
          <w:p w:rsidR="00AD22D8" w:rsidRDefault="00AD22D8" w:rsidP="00AD22D8">
            <w:pPr>
              <w:spacing w:line="240" w:lineRule="auto"/>
              <w:rPr>
                <w:rFonts w:ascii="Calibri" w:eastAsia="+mn-ea" w:hAnsi="Calibri" w:cs="+mn-cs"/>
                <w:color w:val="000000"/>
                <w:kern w:val="24"/>
                <w:sz w:val="24"/>
                <w:szCs w:val="24"/>
                <w:lang w:val="da-DK" w:eastAsia="en-GB"/>
              </w:rPr>
            </w:pPr>
            <w:r w:rsidRPr="00AD22D8">
              <w:rPr>
                <w:rFonts w:ascii="Calibri" w:eastAsia="+mn-ea" w:hAnsi="Calibri" w:cs="+mn-cs"/>
                <w:color w:val="000000"/>
                <w:kern w:val="24"/>
                <w:sz w:val="24"/>
                <w:szCs w:val="24"/>
                <w:lang w:val="da-DK" w:eastAsia="en-GB"/>
              </w:rPr>
              <w:t>One yellow band or a yellow X, or yellow symbol.</w:t>
            </w:r>
          </w:p>
          <w:p w:rsidR="00AF57DB" w:rsidRPr="00A06FBA" w:rsidRDefault="00AF57DB" w:rsidP="00AD22D8">
            <w:pPr>
              <w:spacing w:line="240" w:lineRule="auto"/>
              <w:rPr>
                <w:rFonts w:eastAsia="Times New Roman" w:cs="Times New Roman"/>
                <w:sz w:val="24"/>
                <w:szCs w:val="24"/>
                <w:lang w:eastAsia="en-GB"/>
              </w:rPr>
            </w:pPr>
            <w:r w:rsidRPr="00A06FBA">
              <w:rPr>
                <w:rFonts w:eastAsia="Times New Roman" w:cs="Times New Roman"/>
                <w:sz w:val="24"/>
                <w:szCs w:val="24"/>
                <w:lang w:eastAsia="en-GB"/>
              </w:rPr>
              <w:t>Only one yellow band may be used on a special mark</w:t>
            </w:r>
          </w:p>
          <w:p w:rsidR="00477580" w:rsidRPr="00AD22D8" w:rsidRDefault="00477580" w:rsidP="00C81A54">
            <w:pPr>
              <w:pStyle w:val="AnnexAHead1"/>
              <w:numPr>
                <w:ilvl w:val="0"/>
                <w:numId w:val="0"/>
              </w:numPr>
              <w:rPr>
                <w:sz w:val="20"/>
                <w:szCs w:val="20"/>
              </w:rPr>
            </w:pPr>
          </w:p>
        </w:tc>
      </w:tr>
      <w:tr w:rsidR="00323F5D" w:rsidTr="00477580">
        <w:tc>
          <w:tcPr>
            <w:tcW w:w="5210" w:type="dxa"/>
          </w:tcPr>
          <w:p w:rsidR="00477580" w:rsidRDefault="00323F5D" w:rsidP="00323F5D">
            <w:pPr>
              <w:pStyle w:val="AnnexAHead1"/>
              <w:numPr>
                <w:ilvl w:val="0"/>
                <w:numId w:val="0"/>
              </w:numPr>
              <w:jc w:val="center"/>
            </w:pPr>
            <w:r>
              <w:rPr>
                <w:noProof/>
                <w:lang w:val="en-IE" w:eastAsia="en-IE"/>
              </w:rPr>
              <w:drawing>
                <wp:inline distT="0" distB="0" distL="0" distR="0" wp14:anchorId="130D94C3" wp14:editId="0B10B14B">
                  <wp:extent cx="1099786" cy="2671948"/>
                  <wp:effectExtent l="0" t="0" r="5715" b="0"/>
                  <wp:docPr id="9" name="Billed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99723" cy="2671795"/>
                          </a:xfrm>
                          <a:prstGeom prst="rect">
                            <a:avLst/>
                          </a:prstGeom>
                          <a:noFill/>
                          <a:ln>
                            <a:noFill/>
                          </a:ln>
                        </pic:spPr>
                      </pic:pic>
                    </a:graphicData>
                  </a:graphic>
                </wp:inline>
              </w:drawing>
            </w:r>
          </w:p>
        </w:tc>
        <w:tc>
          <w:tcPr>
            <w:tcW w:w="5211" w:type="dxa"/>
          </w:tcPr>
          <w:p w:rsidR="00AD22D8" w:rsidRPr="00AD22D8" w:rsidRDefault="00AD22D8" w:rsidP="00AD22D8">
            <w:pPr>
              <w:spacing w:line="240" w:lineRule="auto"/>
              <w:jc w:val="center"/>
              <w:rPr>
                <w:rFonts w:ascii="Times New Roman" w:eastAsia="Times New Roman" w:hAnsi="Times New Roman" w:cs="Times New Roman"/>
                <w:sz w:val="24"/>
                <w:szCs w:val="24"/>
                <w:lang w:eastAsia="en-GB"/>
              </w:rPr>
            </w:pPr>
            <w:r w:rsidRPr="00AD22D8">
              <w:rPr>
                <w:rFonts w:ascii="Calibri" w:eastAsia="+mn-ea" w:hAnsi="Calibri" w:cs="+mn-cs"/>
                <w:b/>
                <w:bCs/>
                <w:i/>
                <w:iCs/>
                <w:color w:val="000000"/>
                <w:kern w:val="24"/>
                <w:sz w:val="24"/>
                <w:szCs w:val="24"/>
                <w:lang w:val="da-DK" w:eastAsia="en-GB"/>
              </w:rPr>
              <w:t>Safe Water Marks</w:t>
            </w:r>
          </w:p>
          <w:p w:rsidR="00AD22D8" w:rsidRPr="00AD22D8" w:rsidRDefault="00AD22D8" w:rsidP="00AD22D8">
            <w:pPr>
              <w:spacing w:line="240" w:lineRule="auto"/>
              <w:rPr>
                <w:rFonts w:ascii="Times New Roman" w:eastAsia="Times New Roman" w:hAnsi="Times New Roman" w:cs="Times New Roman"/>
                <w:sz w:val="24"/>
                <w:szCs w:val="24"/>
                <w:lang w:eastAsia="en-GB"/>
              </w:rPr>
            </w:pPr>
            <w:r w:rsidRPr="00AD22D8">
              <w:rPr>
                <w:rFonts w:ascii="Calibri" w:eastAsia="+mn-ea" w:hAnsi="Calibri" w:cs="+mn-cs"/>
                <w:color w:val="000000"/>
                <w:kern w:val="24"/>
                <w:sz w:val="24"/>
                <w:szCs w:val="24"/>
                <w:lang w:val="da-DK" w:eastAsia="en-GB"/>
              </w:rPr>
              <w:t>White bands, letters, numerals or symbols.</w:t>
            </w:r>
          </w:p>
          <w:p w:rsidR="00477580" w:rsidRDefault="00477580" w:rsidP="00C81A54">
            <w:pPr>
              <w:pStyle w:val="AnnexAHead1"/>
              <w:numPr>
                <w:ilvl w:val="0"/>
                <w:numId w:val="0"/>
              </w:numPr>
            </w:pPr>
          </w:p>
        </w:tc>
      </w:tr>
      <w:tr w:rsidR="00323F5D" w:rsidTr="00477580">
        <w:tc>
          <w:tcPr>
            <w:tcW w:w="5210" w:type="dxa"/>
          </w:tcPr>
          <w:p w:rsidR="00477580" w:rsidRDefault="00323F5D" w:rsidP="00A06FBA">
            <w:pPr>
              <w:pStyle w:val="AnnexAHead1"/>
              <w:numPr>
                <w:ilvl w:val="0"/>
                <w:numId w:val="0"/>
              </w:numPr>
              <w:jc w:val="center"/>
            </w:pPr>
            <w:r>
              <w:rPr>
                <w:noProof/>
                <w:lang w:val="en-IE" w:eastAsia="en-IE"/>
              </w:rPr>
              <w:drawing>
                <wp:inline distT="0" distB="0" distL="0" distR="0" wp14:anchorId="1A6E436B" wp14:editId="131D2A0E">
                  <wp:extent cx="1065440" cy="2553195"/>
                  <wp:effectExtent l="0" t="0" r="1905" b="0"/>
                  <wp:docPr id="10" name="Billed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65326" cy="2552921"/>
                          </a:xfrm>
                          <a:prstGeom prst="rect">
                            <a:avLst/>
                          </a:prstGeom>
                          <a:noFill/>
                          <a:ln>
                            <a:noFill/>
                          </a:ln>
                        </pic:spPr>
                      </pic:pic>
                    </a:graphicData>
                  </a:graphic>
                </wp:inline>
              </w:drawing>
            </w:r>
          </w:p>
        </w:tc>
        <w:tc>
          <w:tcPr>
            <w:tcW w:w="5211" w:type="dxa"/>
          </w:tcPr>
          <w:p w:rsidR="00AD22D8" w:rsidRPr="00AD22D8" w:rsidRDefault="00AD22D8" w:rsidP="00AD22D8">
            <w:pPr>
              <w:spacing w:line="240" w:lineRule="auto"/>
              <w:jc w:val="center"/>
              <w:rPr>
                <w:rFonts w:ascii="Times New Roman" w:eastAsia="Times New Roman" w:hAnsi="Times New Roman" w:cs="Times New Roman"/>
                <w:sz w:val="24"/>
                <w:szCs w:val="24"/>
                <w:lang w:eastAsia="en-GB"/>
              </w:rPr>
            </w:pPr>
            <w:r w:rsidRPr="00AD22D8">
              <w:rPr>
                <w:rFonts w:ascii="Calibri" w:eastAsia="+mn-ea" w:hAnsi="Calibri" w:cs="+mn-cs"/>
                <w:b/>
                <w:bCs/>
                <w:i/>
                <w:iCs/>
                <w:color w:val="000000"/>
                <w:kern w:val="24"/>
                <w:sz w:val="24"/>
                <w:szCs w:val="24"/>
                <w:lang w:val="da-DK" w:eastAsia="en-GB"/>
              </w:rPr>
              <w:t>Cardinal Marks</w:t>
            </w:r>
          </w:p>
          <w:p w:rsidR="00AD22D8" w:rsidRPr="00AD22D8" w:rsidRDefault="00AD22D8" w:rsidP="00AD22D8">
            <w:pPr>
              <w:spacing w:line="240" w:lineRule="auto"/>
              <w:jc w:val="center"/>
              <w:rPr>
                <w:rFonts w:ascii="Times New Roman" w:eastAsia="Times New Roman" w:hAnsi="Times New Roman" w:cs="Times New Roman"/>
                <w:sz w:val="24"/>
                <w:szCs w:val="24"/>
                <w:lang w:eastAsia="en-GB"/>
              </w:rPr>
            </w:pPr>
            <w:r w:rsidRPr="00AD22D8">
              <w:rPr>
                <w:rFonts w:ascii="Calibri" w:eastAsia="+mn-ea" w:hAnsi="Calibri" w:cs="+mn-cs"/>
                <w:color w:val="000000"/>
                <w:kern w:val="24"/>
                <w:sz w:val="24"/>
                <w:szCs w:val="24"/>
                <w:lang w:val="da-DK" w:eastAsia="en-GB"/>
              </w:rPr>
              <w:t>(e.g. South Cardinal Marks)</w:t>
            </w:r>
          </w:p>
          <w:p w:rsidR="00AD22D8" w:rsidRPr="00AD22D8" w:rsidRDefault="00AD22D8" w:rsidP="00AD22D8">
            <w:pPr>
              <w:spacing w:line="240" w:lineRule="auto"/>
              <w:rPr>
                <w:rFonts w:ascii="Times New Roman" w:eastAsia="Times New Roman" w:hAnsi="Times New Roman" w:cs="Times New Roman"/>
                <w:sz w:val="24"/>
                <w:szCs w:val="24"/>
                <w:lang w:eastAsia="en-GB"/>
              </w:rPr>
            </w:pPr>
            <w:r w:rsidRPr="00AD22D8">
              <w:rPr>
                <w:rFonts w:ascii="Calibri" w:eastAsia="+mn-ea" w:hAnsi="Calibri" w:cs="+mn-cs"/>
                <w:color w:val="000000"/>
                <w:kern w:val="24"/>
                <w:sz w:val="24"/>
                <w:szCs w:val="24"/>
                <w:lang w:val="da-DK" w:eastAsia="en-GB"/>
              </w:rPr>
              <w:t xml:space="preserve">White bands, letters, numerals or symbols. </w:t>
            </w:r>
          </w:p>
          <w:p w:rsidR="00477580" w:rsidRDefault="00477580" w:rsidP="00C81A54">
            <w:pPr>
              <w:pStyle w:val="AnnexAHead1"/>
              <w:numPr>
                <w:ilvl w:val="0"/>
                <w:numId w:val="0"/>
              </w:numPr>
            </w:pPr>
          </w:p>
        </w:tc>
      </w:tr>
      <w:tr w:rsidR="00323F5D" w:rsidTr="00477580">
        <w:tc>
          <w:tcPr>
            <w:tcW w:w="5210" w:type="dxa"/>
          </w:tcPr>
          <w:p w:rsidR="00477580" w:rsidRDefault="000D0321" w:rsidP="00A06FBA">
            <w:pPr>
              <w:pStyle w:val="AnnexAHead1"/>
              <w:numPr>
                <w:ilvl w:val="0"/>
                <w:numId w:val="0"/>
              </w:numPr>
              <w:jc w:val="center"/>
            </w:pPr>
            <w:r>
              <w:rPr>
                <w:noProof/>
                <w:lang w:val="en-IE" w:eastAsia="en-IE"/>
              </w:rPr>
              <w:lastRenderedPageBreak/>
              <w:drawing>
                <wp:inline distT="0" distB="0" distL="0" distR="0" wp14:anchorId="60E307D1" wp14:editId="00AFC7A1">
                  <wp:extent cx="1128156" cy="2740877"/>
                  <wp:effectExtent l="0" t="0" r="0" b="2540"/>
                  <wp:docPr id="26" name="Billed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24693" cy="2732463"/>
                          </a:xfrm>
                          <a:prstGeom prst="rect">
                            <a:avLst/>
                          </a:prstGeom>
                          <a:noFill/>
                          <a:ln>
                            <a:noFill/>
                          </a:ln>
                        </pic:spPr>
                      </pic:pic>
                    </a:graphicData>
                  </a:graphic>
                </wp:inline>
              </w:drawing>
            </w:r>
          </w:p>
        </w:tc>
        <w:tc>
          <w:tcPr>
            <w:tcW w:w="5211" w:type="dxa"/>
          </w:tcPr>
          <w:p w:rsidR="00AD22D8" w:rsidRPr="00AD22D8" w:rsidRDefault="00AD22D8" w:rsidP="00AD22D8">
            <w:pPr>
              <w:spacing w:line="240" w:lineRule="auto"/>
              <w:jc w:val="center"/>
              <w:rPr>
                <w:rFonts w:ascii="Times New Roman" w:eastAsia="Times New Roman" w:hAnsi="Times New Roman" w:cs="Times New Roman"/>
                <w:sz w:val="24"/>
                <w:szCs w:val="24"/>
                <w:lang w:eastAsia="en-GB"/>
              </w:rPr>
            </w:pPr>
            <w:r w:rsidRPr="00AD22D8">
              <w:rPr>
                <w:rFonts w:ascii="Calibri" w:eastAsia="+mn-ea" w:hAnsi="Calibri" w:cs="+mn-cs"/>
                <w:b/>
                <w:bCs/>
                <w:i/>
                <w:iCs/>
                <w:color w:val="000000"/>
                <w:kern w:val="24"/>
                <w:sz w:val="24"/>
                <w:szCs w:val="24"/>
                <w:lang w:val="da-DK" w:eastAsia="en-GB"/>
              </w:rPr>
              <w:t>Isolated Danger Marks</w:t>
            </w:r>
          </w:p>
          <w:p w:rsidR="00AD22D8" w:rsidRPr="00AD22D8" w:rsidRDefault="00AD22D8" w:rsidP="00AD22D8">
            <w:pPr>
              <w:spacing w:line="240" w:lineRule="auto"/>
              <w:rPr>
                <w:rFonts w:ascii="Times New Roman" w:eastAsia="Times New Roman" w:hAnsi="Times New Roman" w:cs="Times New Roman"/>
                <w:sz w:val="24"/>
                <w:szCs w:val="24"/>
                <w:lang w:eastAsia="en-GB"/>
              </w:rPr>
            </w:pPr>
            <w:r w:rsidRPr="00AD22D8">
              <w:rPr>
                <w:rFonts w:ascii="Calibri" w:eastAsia="+mn-ea" w:hAnsi="Calibri" w:cs="+mn-cs"/>
                <w:color w:val="000000"/>
                <w:kern w:val="24"/>
                <w:sz w:val="24"/>
                <w:szCs w:val="24"/>
                <w:lang w:val="da-DK" w:eastAsia="en-GB"/>
              </w:rPr>
              <w:t>White bands, letters, numerals or symbols.</w:t>
            </w:r>
          </w:p>
          <w:p w:rsidR="00477580" w:rsidRDefault="00477580" w:rsidP="00C81A54">
            <w:pPr>
              <w:pStyle w:val="AnnexAHead1"/>
              <w:numPr>
                <w:ilvl w:val="0"/>
                <w:numId w:val="0"/>
              </w:numPr>
            </w:pPr>
          </w:p>
        </w:tc>
      </w:tr>
    </w:tbl>
    <w:p w:rsidR="00B4631D" w:rsidRDefault="00B4631D" w:rsidP="00C81A54">
      <w:pPr>
        <w:pStyle w:val="AnnexAHead1"/>
        <w:numPr>
          <w:ilvl w:val="0"/>
          <w:numId w:val="0"/>
        </w:numPr>
        <w:ind w:left="709"/>
      </w:pPr>
    </w:p>
    <w:p w:rsidR="001401B8" w:rsidRDefault="001401B8" w:rsidP="00C81A54">
      <w:pPr>
        <w:pStyle w:val="BodyText"/>
      </w:pPr>
    </w:p>
    <w:p w:rsidR="00C81A54" w:rsidRDefault="00C81A54" w:rsidP="00C81A54">
      <w:pPr>
        <w:pStyle w:val="BodyText"/>
      </w:pPr>
    </w:p>
    <w:p w:rsidR="00C81A54" w:rsidRDefault="00C81A54" w:rsidP="00C81A54">
      <w:pPr>
        <w:pStyle w:val="BodyText"/>
      </w:pPr>
    </w:p>
    <w:p w:rsidR="001401B8" w:rsidRDefault="001401B8" w:rsidP="00C81A54">
      <w:pPr>
        <w:pStyle w:val="BodyText"/>
      </w:pPr>
    </w:p>
    <w:p w:rsidR="001401B8" w:rsidRDefault="001401B8" w:rsidP="00C81A54">
      <w:pPr>
        <w:pStyle w:val="BodyText"/>
      </w:pPr>
    </w:p>
    <w:p w:rsidR="00AD22D8" w:rsidRDefault="00AD22D8" w:rsidP="00C81A54">
      <w:pPr>
        <w:pStyle w:val="BodyText"/>
      </w:pPr>
    </w:p>
    <w:p w:rsidR="00EA2E87" w:rsidRDefault="00EA2E87" w:rsidP="00C81A54">
      <w:pPr>
        <w:pStyle w:val="BodyText"/>
      </w:pPr>
    </w:p>
    <w:p w:rsidR="00EA2E87" w:rsidRDefault="00EA2E87" w:rsidP="00C81A54">
      <w:pPr>
        <w:pStyle w:val="BodyText"/>
      </w:pPr>
    </w:p>
    <w:p w:rsidR="00EA2E87" w:rsidRDefault="00EA2E87" w:rsidP="00C81A54">
      <w:pPr>
        <w:pStyle w:val="BodyText"/>
      </w:pPr>
    </w:p>
    <w:p w:rsidR="00EA2E87" w:rsidRDefault="00EA2E87" w:rsidP="00C81A54">
      <w:pPr>
        <w:pStyle w:val="BodyText"/>
      </w:pPr>
    </w:p>
    <w:p w:rsidR="00EA2E87" w:rsidRDefault="00EA2E87" w:rsidP="00C81A54">
      <w:pPr>
        <w:pStyle w:val="BodyText"/>
      </w:pPr>
    </w:p>
    <w:p w:rsidR="00EA2E87" w:rsidRDefault="00EA2E87" w:rsidP="00C81A54">
      <w:pPr>
        <w:pStyle w:val="BodyText"/>
      </w:pPr>
    </w:p>
    <w:p w:rsidR="00EA2E87" w:rsidRDefault="00EA2E87" w:rsidP="00C81A54">
      <w:pPr>
        <w:pStyle w:val="BodyText"/>
      </w:pPr>
    </w:p>
    <w:p w:rsidR="00EA2E87" w:rsidRDefault="00EA2E87" w:rsidP="00C81A54">
      <w:pPr>
        <w:pStyle w:val="BodyText"/>
      </w:pPr>
    </w:p>
    <w:p w:rsidR="00EA2E87" w:rsidRDefault="00EA2E87" w:rsidP="00C81A54">
      <w:pPr>
        <w:pStyle w:val="BodyText"/>
      </w:pPr>
    </w:p>
    <w:p w:rsidR="00EA2E87" w:rsidRDefault="00EA2E87" w:rsidP="00C81A54">
      <w:pPr>
        <w:pStyle w:val="BodyText"/>
      </w:pPr>
    </w:p>
    <w:p w:rsidR="00EA2E87" w:rsidRDefault="00EA2E87" w:rsidP="00C81A54">
      <w:pPr>
        <w:pStyle w:val="BodyText"/>
      </w:pPr>
    </w:p>
    <w:p w:rsidR="00EA2E87" w:rsidRDefault="00EA2E87" w:rsidP="00C81A54">
      <w:pPr>
        <w:pStyle w:val="BodyText"/>
      </w:pPr>
    </w:p>
    <w:p w:rsidR="00EA2E87" w:rsidRDefault="00EA2E87" w:rsidP="00C81A54">
      <w:pPr>
        <w:pStyle w:val="BodyText"/>
      </w:pPr>
    </w:p>
    <w:p w:rsidR="00EA2E87" w:rsidRDefault="00EA2E87" w:rsidP="00C81A54">
      <w:pPr>
        <w:pStyle w:val="BodyText"/>
      </w:pPr>
    </w:p>
    <w:p w:rsidR="00EA2E87" w:rsidRDefault="00EA2E87" w:rsidP="00C81A54">
      <w:pPr>
        <w:pStyle w:val="BodyText"/>
      </w:pPr>
    </w:p>
    <w:p w:rsidR="00AD22D8" w:rsidRDefault="00AD22D8" w:rsidP="00C81A54">
      <w:pPr>
        <w:pStyle w:val="BodyText"/>
      </w:pPr>
    </w:p>
    <w:p w:rsidR="00885E37" w:rsidRDefault="00885E37" w:rsidP="00885E37">
      <w:pPr>
        <w:pStyle w:val="AnnexAHead1"/>
      </w:pPr>
      <w:r>
        <w:lastRenderedPageBreak/>
        <w:t>Comprehensive</w:t>
      </w:r>
      <w:r w:rsidRPr="004A04D0">
        <w:t xml:space="preserve"> CODE</w:t>
      </w:r>
    </w:p>
    <w:tbl>
      <w:tblPr>
        <w:tblStyle w:val="Tabel-Gitter1"/>
        <w:tblW w:w="0" w:type="auto"/>
        <w:tblInd w:w="709" w:type="dxa"/>
        <w:tblLook w:val="04A0" w:firstRow="1" w:lastRow="0" w:firstColumn="1" w:lastColumn="0" w:noHBand="0" w:noVBand="1"/>
      </w:tblPr>
      <w:tblGrid>
        <w:gridCol w:w="2440"/>
        <w:gridCol w:w="2441"/>
        <w:gridCol w:w="4831"/>
      </w:tblGrid>
      <w:tr w:rsidR="00AD22D8" w:rsidRPr="00AD22D8" w:rsidTr="00323F5D">
        <w:trPr>
          <w:trHeight w:val="472"/>
        </w:trPr>
        <w:tc>
          <w:tcPr>
            <w:tcW w:w="4881" w:type="dxa"/>
            <w:gridSpan w:val="2"/>
          </w:tcPr>
          <w:p w:rsidR="00AD22D8" w:rsidRPr="00EA2E87" w:rsidRDefault="00EA2E87" w:rsidP="0024236C">
            <w:pPr>
              <w:spacing w:before="120" w:after="120" w:line="240" w:lineRule="auto"/>
              <w:rPr>
                <w:rFonts w:eastAsia="Calibri" w:cs="Calibri"/>
                <w:bCs/>
                <w:caps/>
                <w:color w:val="009FDF"/>
                <w:sz w:val="20"/>
                <w:szCs w:val="20"/>
                <w:lang w:eastAsia="en-GB"/>
              </w:rPr>
            </w:pPr>
            <w:r w:rsidRPr="00EA2E87">
              <w:rPr>
                <w:rFonts w:eastAsia="Calibri" w:cs="Calibri"/>
                <w:bCs/>
                <w:caps/>
                <w:sz w:val="20"/>
                <w:szCs w:val="20"/>
                <w:lang w:eastAsia="en-GB"/>
              </w:rPr>
              <w:t xml:space="preserve">C: COLOUR OF THE </w:t>
            </w:r>
            <w:r w:rsidR="0024236C">
              <w:rPr>
                <w:rFonts w:eastAsia="Calibri" w:cs="Calibri"/>
                <w:bCs/>
                <w:caps/>
                <w:sz w:val="20"/>
                <w:szCs w:val="20"/>
                <w:lang w:eastAsia="en-GB"/>
              </w:rPr>
              <w:t>MARK</w:t>
            </w:r>
            <w:r w:rsidRPr="00EA2E87">
              <w:rPr>
                <w:rFonts w:eastAsia="Calibri" w:cs="Calibri"/>
                <w:bCs/>
                <w:caps/>
                <w:sz w:val="20"/>
                <w:szCs w:val="20"/>
                <w:lang w:eastAsia="en-GB"/>
              </w:rPr>
              <w:t xml:space="preserve">,                                                      R: RETROREFLECTING MATERIAL  </w:t>
            </w:r>
          </w:p>
        </w:tc>
        <w:tc>
          <w:tcPr>
            <w:tcW w:w="4831" w:type="dxa"/>
          </w:tcPr>
          <w:p w:rsidR="00AD22D8" w:rsidRDefault="00EA2E87" w:rsidP="00AD22D8">
            <w:pPr>
              <w:spacing w:line="240" w:lineRule="auto"/>
              <w:rPr>
                <w:rFonts w:eastAsia="Calibri" w:cs="Calibri"/>
                <w:b/>
                <w:bCs/>
                <w:caps/>
                <w:sz w:val="32"/>
                <w:szCs w:val="32"/>
                <w:lang w:eastAsia="en-GB"/>
              </w:rPr>
            </w:pPr>
            <w:r w:rsidRPr="00EA2E87">
              <w:rPr>
                <w:rFonts w:eastAsia="Calibri" w:cs="Calibri"/>
                <w:b/>
                <w:bCs/>
                <w:caps/>
                <w:sz w:val="32"/>
                <w:szCs w:val="32"/>
                <w:lang w:eastAsia="en-GB"/>
              </w:rPr>
              <w:t>COMPREHENSIVE CODE</w:t>
            </w:r>
          </w:p>
          <w:p w:rsidR="00EA2E87" w:rsidRPr="008A446F" w:rsidRDefault="00EA2E87" w:rsidP="00AD22D8">
            <w:pPr>
              <w:spacing w:line="240" w:lineRule="auto"/>
              <w:rPr>
                <w:rFonts w:ascii="Times New Roman" w:eastAsia="Times New Roman" w:hAnsi="Times New Roman" w:cs="Times New Roman"/>
                <w:sz w:val="24"/>
                <w:szCs w:val="24"/>
                <w:lang w:eastAsia="en-GB"/>
              </w:rPr>
            </w:pPr>
            <w:r w:rsidRPr="00EA2E87">
              <w:rPr>
                <w:rFonts w:ascii="Calibri" w:eastAsia="+mn-ea" w:hAnsi="Calibri" w:cs="+mn-cs"/>
                <w:color w:val="000000"/>
                <w:kern w:val="24"/>
                <w:sz w:val="24"/>
                <w:szCs w:val="24"/>
                <w:lang w:val="da-DK" w:eastAsia="en-GB"/>
              </w:rPr>
              <w:t>Green and red lateral marks, and yellow special marks, are the same as those in the Standard Code.</w:t>
            </w:r>
          </w:p>
        </w:tc>
      </w:tr>
      <w:tr w:rsidR="00AD22D8" w:rsidRPr="00AD22D8" w:rsidTr="00323F5D">
        <w:tc>
          <w:tcPr>
            <w:tcW w:w="4881" w:type="dxa"/>
            <w:gridSpan w:val="2"/>
          </w:tcPr>
          <w:p w:rsidR="00AD22D8" w:rsidRPr="00AD22D8" w:rsidRDefault="00AD22D8" w:rsidP="00AD22D8">
            <w:pPr>
              <w:spacing w:before="120" w:after="120" w:line="240" w:lineRule="auto"/>
              <w:rPr>
                <w:rFonts w:eastAsia="Calibri" w:cs="Calibri"/>
                <w:bCs/>
                <w:caps/>
                <w:color w:val="009FDF"/>
                <w:sz w:val="28"/>
                <w:lang w:eastAsia="en-GB"/>
              </w:rPr>
            </w:pPr>
            <w:r w:rsidRPr="00AD22D8">
              <w:rPr>
                <w:rFonts w:eastAsia="Calibri" w:cs="Calibri"/>
                <w:bCs/>
                <w:caps/>
                <w:sz w:val="28"/>
                <w:lang w:eastAsia="en-GB"/>
              </w:rPr>
              <w:t>Aspect by Night</w:t>
            </w:r>
          </w:p>
        </w:tc>
        <w:tc>
          <w:tcPr>
            <w:tcW w:w="4831" w:type="dxa"/>
          </w:tcPr>
          <w:p w:rsidR="00AD22D8" w:rsidRPr="00AD22D8" w:rsidRDefault="00AD22D8" w:rsidP="00AD22D8">
            <w:pPr>
              <w:spacing w:before="120" w:after="120" w:line="240" w:lineRule="auto"/>
              <w:rPr>
                <w:rFonts w:eastAsia="Calibri" w:cs="Calibri"/>
                <w:bCs/>
                <w:caps/>
                <w:color w:val="009FDF"/>
                <w:sz w:val="28"/>
                <w:lang w:eastAsia="en-GB"/>
              </w:rPr>
            </w:pPr>
            <w:r w:rsidRPr="00AD22D8">
              <w:rPr>
                <w:rFonts w:eastAsia="Calibri" w:cs="Calibri"/>
                <w:bCs/>
                <w:caps/>
                <w:sz w:val="28"/>
                <w:lang w:eastAsia="en-GB"/>
              </w:rPr>
              <w:t>Type of Mark and Code</w:t>
            </w:r>
          </w:p>
        </w:tc>
      </w:tr>
      <w:tr w:rsidR="00323F5D" w:rsidRPr="00AD22D8" w:rsidTr="00323F5D">
        <w:tc>
          <w:tcPr>
            <w:tcW w:w="2440" w:type="dxa"/>
          </w:tcPr>
          <w:p w:rsidR="00323F5D" w:rsidRPr="00AD22D8" w:rsidRDefault="00323F5D" w:rsidP="00323F5D">
            <w:pPr>
              <w:spacing w:before="120" w:after="120" w:line="240" w:lineRule="auto"/>
              <w:jc w:val="center"/>
              <w:rPr>
                <w:rFonts w:eastAsia="Calibri" w:cs="Calibri"/>
                <w:bCs/>
                <w:caps/>
                <w:color w:val="009FDF"/>
                <w:sz w:val="28"/>
                <w:lang w:eastAsia="en-GB"/>
              </w:rPr>
            </w:pPr>
            <w:r>
              <w:rPr>
                <w:rFonts w:eastAsia="Calibri" w:cs="Calibri"/>
                <w:bCs/>
                <w:caps/>
                <w:noProof/>
                <w:color w:val="009FDF"/>
                <w:sz w:val="28"/>
                <w:lang w:val="en-IE" w:eastAsia="en-IE"/>
              </w:rPr>
              <w:drawing>
                <wp:inline distT="0" distB="0" distL="0" distR="0" wp14:anchorId="2BA0F1D1" wp14:editId="58699865">
                  <wp:extent cx="1086955" cy="2837920"/>
                  <wp:effectExtent l="0" t="0" r="0" b="635"/>
                  <wp:docPr id="12" name="Billed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87095" cy="2838285"/>
                          </a:xfrm>
                          <a:prstGeom prst="rect">
                            <a:avLst/>
                          </a:prstGeom>
                          <a:noFill/>
                          <a:ln>
                            <a:noFill/>
                          </a:ln>
                        </pic:spPr>
                      </pic:pic>
                    </a:graphicData>
                  </a:graphic>
                </wp:inline>
              </w:drawing>
            </w:r>
          </w:p>
        </w:tc>
        <w:tc>
          <w:tcPr>
            <w:tcW w:w="2441" w:type="dxa"/>
          </w:tcPr>
          <w:p w:rsidR="00323F5D" w:rsidRPr="00AD22D8" w:rsidRDefault="00323F5D" w:rsidP="00323F5D">
            <w:pPr>
              <w:numPr>
                <w:ilvl w:val="3"/>
                <w:numId w:val="0"/>
              </w:numPr>
              <w:spacing w:before="120" w:after="120"/>
              <w:ind w:left="1134" w:hanging="1134"/>
              <w:jc w:val="center"/>
              <w:rPr>
                <w:rFonts w:eastAsia="Calibri" w:cs="Calibri"/>
                <w:b/>
                <w:color w:val="009FDF"/>
                <w:sz w:val="22"/>
                <w:lang w:eastAsia="en-GB"/>
              </w:rPr>
            </w:pPr>
            <w:r>
              <w:rPr>
                <w:rFonts w:eastAsia="Calibri" w:cs="Calibri"/>
                <w:b/>
                <w:noProof/>
                <w:color w:val="009FDF"/>
                <w:sz w:val="22"/>
                <w:lang w:val="en-IE" w:eastAsia="en-IE"/>
              </w:rPr>
              <w:drawing>
                <wp:inline distT="0" distB="0" distL="0" distR="0" wp14:anchorId="660840BE" wp14:editId="65A8A1FF">
                  <wp:extent cx="1104456" cy="2695334"/>
                  <wp:effectExtent l="0" t="0" r="635" b="0"/>
                  <wp:docPr id="18" name="Billed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04579" cy="2695634"/>
                          </a:xfrm>
                          <a:prstGeom prst="rect">
                            <a:avLst/>
                          </a:prstGeom>
                          <a:noFill/>
                          <a:ln>
                            <a:noFill/>
                          </a:ln>
                        </pic:spPr>
                      </pic:pic>
                    </a:graphicData>
                  </a:graphic>
                </wp:inline>
              </w:drawing>
            </w:r>
          </w:p>
        </w:tc>
        <w:tc>
          <w:tcPr>
            <w:tcW w:w="4831" w:type="dxa"/>
          </w:tcPr>
          <w:p w:rsidR="00323F5D" w:rsidRPr="00AD22D8" w:rsidRDefault="00323F5D" w:rsidP="00AD22D8">
            <w:pPr>
              <w:spacing w:line="240" w:lineRule="auto"/>
              <w:jc w:val="center"/>
              <w:rPr>
                <w:rFonts w:ascii="Times New Roman" w:eastAsia="Times New Roman" w:hAnsi="Times New Roman" w:cs="Times New Roman"/>
                <w:sz w:val="24"/>
                <w:szCs w:val="24"/>
                <w:lang w:eastAsia="en-GB"/>
              </w:rPr>
            </w:pPr>
            <w:r w:rsidRPr="00AD22D8">
              <w:rPr>
                <w:rFonts w:ascii="Calibri" w:eastAsia="+mn-ea" w:hAnsi="Calibri" w:cs="+mn-cs"/>
                <w:b/>
                <w:bCs/>
                <w:i/>
                <w:iCs/>
                <w:color w:val="000000"/>
                <w:kern w:val="24"/>
                <w:sz w:val="24"/>
                <w:szCs w:val="24"/>
                <w:lang w:val="da-DK" w:eastAsia="en-GB"/>
              </w:rPr>
              <w:t>Safe Water Marks</w:t>
            </w:r>
          </w:p>
          <w:p w:rsidR="00323F5D" w:rsidRDefault="00323F5D" w:rsidP="00AD22D8">
            <w:pPr>
              <w:spacing w:line="240" w:lineRule="auto"/>
              <w:rPr>
                <w:rFonts w:ascii="Calibri" w:eastAsia="+mn-ea" w:hAnsi="Calibri" w:cs="+mn-cs"/>
                <w:color w:val="000000"/>
                <w:kern w:val="24"/>
                <w:sz w:val="24"/>
                <w:szCs w:val="24"/>
                <w:lang w:val="da-DK" w:eastAsia="en-GB"/>
              </w:rPr>
            </w:pPr>
            <w:r w:rsidRPr="00AD22D8">
              <w:rPr>
                <w:rFonts w:ascii="Calibri" w:eastAsia="+mn-ea" w:hAnsi="Calibri" w:cs="+mn-cs"/>
                <w:color w:val="000000"/>
                <w:kern w:val="24"/>
                <w:sz w:val="24"/>
                <w:szCs w:val="24"/>
                <w:lang w:val="da-DK" w:eastAsia="en-GB"/>
              </w:rPr>
              <w:t xml:space="preserve">A combination of Red and White horizontal bands or stripes. At least one band or </w:t>
            </w:r>
            <w:r w:rsidRPr="00AD22D8">
              <w:rPr>
                <w:rFonts w:ascii="Calibri" w:eastAsia="+mn-ea" w:hAnsi="Calibri" w:cs="+mn-cs"/>
                <w:color w:val="000000"/>
                <w:kern w:val="24"/>
                <w:sz w:val="24"/>
                <w:szCs w:val="24"/>
                <w:lang w:val="da-DK" w:eastAsia="en-GB"/>
              </w:rPr>
              <w:br/>
              <w:t>stripe of each colour.</w:t>
            </w:r>
          </w:p>
          <w:p w:rsidR="00D53098" w:rsidRDefault="00D53098" w:rsidP="00AD22D8">
            <w:pPr>
              <w:spacing w:line="240" w:lineRule="auto"/>
              <w:rPr>
                <w:rFonts w:eastAsia="Times New Roman" w:cs="Times New Roman"/>
                <w:sz w:val="24"/>
                <w:szCs w:val="24"/>
                <w:lang w:eastAsia="en-GB"/>
              </w:rPr>
            </w:pPr>
            <w:r w:rsidRPr="00A06FBA">
              <w:rPr>
                <w:rFonts w:eastAsia="Times New Roman" w:cs="Times New Roman"/>
                <w:sz w:val="24"/>
                <w:szCs w:val="24"/>
                <w:lang w:eastAsia="en-GB"/>
              </w:rPr>
              <w:t>The red bands or stripes must be at least twice the width of the white bands or stripes.</w:t>
            </w:r>
          </w:p>
          <w:p w:rsidR="00DC0588" w:rsidRPr="00A06FBA" w:rsidRDefault="00DC0588" w:rsidP="00AD22D8">
            <w:pPr>
              <w:spacing w:line="240" w:lineRule="auto"/>
              <w:rPr>
                <w:rFonts w:eastAsia="Times New Roman" w:cs="Times New Roman"/>
                <w:sz w:val="24"/>
                <w:szCs w:val="24"/>
                <w:lang w:eastAsia="en-GB"/>
              </w:rPr>
            </w:pPr>
            <w:r w:rsidRPr="00DC0588">
              <w:rPr>
                <w:rFonts w:eastAsia="Times New Roman" w:cs="Times New Roman"/>
                <w:sz w:val="24"/>
                <w:szCs w:val="24"/>
                <w:lang w:eastAsia="en-GB"/>
              </w:rPr>
              <w:t>The separation distance between the colours must be at least twice the width of the white bands or stripes.</w:t>
            </w:r>
          </w:p>
          <w:p w:rsidR="00323F5D" w:rsidRPr="00AD22D8" w:rsidRDefault="00323F5D" w:rsidP="00AD22D8">
            <w:pPr>
              <w:spacing w:before="120" w:after="120" w:line="240" w:lineRule="auto"/>
              <w:rPr>
                <w:rFonts w:eastAsia="Calibri" w:cs="Calibri"/>
                <w:bCs/>
                <w:caps/>
                <w:color w:val="009FDF"/>
                <w:sz w:val="22"/>
                <w:lang w:eastAsia="en-GB"/>
              </w:rPr>
            </w:pPr>
          </w:p>
        </w:tc>
      </w:tr>
      <w:tr w:rsidR="00AD22D8" w:rsidRPr="00AD22D8" w:rsidTr="00323F5D">
        <w:tc>
          <w:tcPr>
            <w:tcW w:w="4881" w:type="dxa"/>
            <w:gridSpan w:val="2"/>
          </w:tcPr>
          <w:p w:rsidR="00AD22D8" w:rsidRPr="00AD22D8" w:rsidRDefault="00667C9B" w:rsidP="00A06FBA">
            <w:pPr>
              <w:spacing w:before="120" w:after="120" w:line="240" w:lineRule="auto"/>
              <w:jc w:val="center"/>
              <w:rPr>
                <w:rFonts w:eastAsia="Calibri" w:cs="Calibri"/>
                <w:bCs/>
                <w:caps/>
                <w:color w:val="009FDF"/>
                <w:sz w:val="28"/>
                <w:lang w:eastAsia="en-GB"/>
              </w:rPr>
            </w:pPr>
            <w:r>
              <w:rPr>
                <w:noProof/>
                <w:lang w:val="en-IE" w:eastAsia="en-IE"/>
              </w:rPr>
              <w:drawing>
                <wp:inline distT="0" distB="0" distL="0" distR="0" wp14:anchorId="5600CDF8" wp14:editId="77EA8506">
                  <wp:extent cx="1077900" cy="2555539"/>
                  <wp:effectExtent l="0" t="0" r="8255" b="0"/>
                  <wp:docPr id="25" name="Billed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090064" cy="2584378"/>
                          </a:xfrm>
                          <a:prstGeom prst="rect">
                            <a:avLst/>
                          </a:prstGeom>
                          <a:noFill/>
                          <a:ln>
                            <a:noFill/>
                          </a:ln>
                        </pic:spPr>
                      </pic:pic>
                    </a:graphicData>
                  </a:graphic>
                </wp:inline>
              </w:drawing>
            </w:r>
          </w:p>
        </w:tc>
        <w:tc>
          <w:tcPr>
            <w:tcW w:w="4831" w:type="dxa"/>
          </w:tcPr>
          <w:p w:rsidR="00AD22D8" w:rsidRPr="00AD22D8" w:rsidRDefault="00AD22D8" w:rsidP="00AD22D8">
            <w:pPr>
              <w:spacing w:line="240" w:lineRule="auto"/>
              <w:jc w:val="center"/>
              <w:rPr>
                <w:rFonts w:ascii="Times New Roman" w:eastAsia="Times New Roman" w:hAnsi="Times New Roman" w:cs="Times New Roman"/>
                <w:sz w:val="24"/>
                <w:szCs w:val="24"/>
                <w:lang w:eastAsia="en-GB"/>
              </w:rPr>
            </w:pPr>
            <w:r w:rsidRPr="00AD22D8">
              <w:rPr>
                <w:rFonts w:ascii="Calibri" w:eastAsia="+mn-ea" w:hAnsi="Calibri" w:cs="+mn-cs"/>
                <w:b/>
                <w:bCs/>
                <w:i/>
                <w:iCs/>
                <w:color w:val="000000"/>
                <w:kern w:val="24"/>
                <w:sz w:val="24"/>
                <w:szCs w:val="24"/>
                <w:lang w:val="da-DK" w:eastAsia="en-GB"/>
              </w:rPr>
              <w:t>Isolated Danger Marks</w:t>
            </w:r>
          </w:p>
          <w:p w:rsidR="00AD22D8" w:rsidRDefault="00AD22D8" w:rsidP="00AD22D8">
            <w:pPr>
              <w:spacing w:line="240" w:lineRule="auto"/>
              <w:rPr>
                <w:rFonts w:ascii="Calibri" w:eastAsia="+mn-ea" w:hAnsi="Calibri" w:cs="+mn-cs"/>
                <w:color w:val="000000"/>
                <w:kern w:val="24"/>
                <w:sz w:val="24"/>
                <w:szCs w:val="24"/>
                <w:lang w:val="da-DK" w:eastAsia="en-GB"/>
              </w:rPr>
            </w:pPr>
            <w:r w:rsidRPr="00AD22D8">
              <w:rPr>
                <w:rFonts w:ascii="Calibri" w:eastAsia="+mn-ea" w:hAnsi="Calibri" w:cs="+mn-cs"/>
                <w:color w:val="000000"/>
                <w:kern w:val="24"/>
                <w:sz w:val="24"/>
                <w:szCs w:val="24"/>
                <w:lang w:val="da-DK" w:eastAsia="en-GB"/>
              </w:rPr>
              <w:t>Blue and red horizontal bands or stripes. At least one band of each colour.</w:t>
            </w:r>
          </w:p>
          <w:p w:rsidR="00DC0588" w:rsidRPr="00A06FBA" w:rsidRDefault="00DC0588" w:rsidP="00AD22D8">
            <w:pPr>
              <w:spacing w:line="240" w:lineRule="auto"/>
              <w:rPr>
                <w:rFonts w:eastAsia="Times New Roman" w:cs="Times New Roman"/>
                <w:sz w:val="24"/>
                <w:szCs w:val="24"/>
                <w:lang w:eastAsia="en-GB"/>
              </w:rPr>
            </w:pPr>
            <w:r w:rsidRPr="00A06FBA">
              <w:rPr>
                <w:rFonts w:eastAsia="Times New Roman" w:cs="Times New Roman"/>
                <w:sz w:val="24"/>
                <w:szCs w:val="24"/>
                <w:lang w:eastAsia="en-GB"/>
              </w:rPr>
              <w:t>The blue and red bands should be of equal width and separated by a distance at least equal to the width of a band.</w:t>
            </w:r>
          </w:p>
          <w:p w:rsidR="00AD22D8" w:rsidRPr="00AD22D8" w:rsidRDefault="00AD22D8" w:rsidP="00AD22D8">
            <w:pPr>
              <w:spacing w:before="120" w:after="120" w:line="240" w:lineRule="auto"/>
              <w:rPr>
                <w:rFonts w:eastAsia="Calibri" w:cs="Calibri"/>
                <w:bCs/>
                <w:caps/>
                <w:color w:val="009FDF"/>
                <w:sz w:val="20"/>
                <w:szCs w:val="20"/>
                <w:lang w:eastAsia="en-GB"/>
              </w:rPr>
            </w:pPr>
          </w:p>
        </w:tc>
      </w:tr>
      <w:tr w:rsidR="00AD22D8" w:rsidRPr="00AD22D8" w:rsidTr="00323F5D">
        <w:tc>
          <w:tcPr>
            <w:tcW w:w="4881" w:type="dxa"/>
            <w:gridSpan w:val="2"/>
          </w:tcPr>
          <w:p w:rsidR="00AD22D8" w:rsidRPr="00AD22D8" w:rsidRDefault="00323F5D" w:rsidP="00323F5D">
            <w:pPr>
              <w:spacing w:before="120" w:after="120" w:line="240" w:lineRule="auto"/>
              <w:jc w:val="center"/>
              <w:rPr>
                <w:rFonts w:eastAsia="Calibri" w:cs="Calibri"/>
                <w:bCs/>
                <w:caps/>
                <w:color w:val="009FDF"/>
                <w:sz w:val="28"/>
                <w:lang w:eastAsia="en-GB"/>
              </w:rPr>
            </w:pPr>
            <w:r>
              <w:rPr>
                <w:rFonts w:eastAsia="Calibri" w:cs="Calibri"/>
                <w:bCs/>
                <w:caps/>
                <w:noProof/>
                <w:color w:val="009FDF"/>
                <w:sz w:val="28"/>
                <w:lang w:val="en-IE" w:eastAsia="en-IE"/>
              </w:rPr>
              <w:lastRenderedPageBreak/>
              <w:drawing>
                <wp:inline distT="0" distB="0" distL="0" distR="0" wp14:anchorId="4660AFC9" wp14:editId="064498D3">
                  <wp:extent cx="1076423" cy="2588553"/>
                  <wp:effectExtent l="0" t="0" r="0" b="2540"/>
                  <wp:docPr id="19" name="Billed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076491" cy="2588717"/>
                          </a:xfrm>
                          <a:prstGeom prst="rect">
                            <a:avLst/>
                          </a:prstGeom>
                          <a:noFill/>
                          <a:ln>
                            <a:noFill/>
                          </a:ln>
                        </pic:spPr>
                      </pic:pic>
                    </a:graphicData>
                  </a:graphic>
                </wp:inline>
              </w:drawing>
            </w:r>
          </w:p>
        </w:tc>
        <w:tc>
          <w:tcPr>
            <w:tcW w:w="4831" w:type="dxa"/>
          </w:tcPr>
          <w:p w:rsidR="00AD22D8" w:rsidRPr="00AD22D8" w:rsidRDefault="00AD22D8" w:rsidP="00AD22D8">
            <w:pPr>
              <w:spacing w:line="240" w:lineRule="auto"/>
              <w:jc w:val="center"/>
              <w:rPr>
                <w:rFonts w:ascii="Times New Roman" w:eastAsia="Times New Roman" w:hAnsi="Times New Roman" w:cs="Times New Roman"/>
                <w:sz w:val="24"/>
                <w:szCs w:val="24"/>
                <w:lang w:eastAsia="en-GB"/>
              </w:rPr>
            </w:pPr>
            <w:r w:rsidRPr="00AD22D8">
              <w:rPr>
                <w:rFonts w:ascii="Calibri" w:eastAsia="+mn-ea" w:hAnsi="Calibri" w:cs="+mn-cs"/>
                <w:b/>
                <w:bCs/>
                <w:i/>
                <w:iCs/>
                <w:color w:val="000000"/>
                <w:kern w:val="24"/>
                <w:sz w:val="24"/>
                <w:szCs w:val="24"/>
                <w:lang w:val="da-DK" w:eastAsia="en-GB"/>
              </w:rPr>
              <w:t>North Cardinal Marks</w:t>
            </w:r>
          </w:p>
          <w:p w:rsidR="00AD22D8" w:rsidRDefault="00AD22D8" w:rsidP="00AD22D8">
            <w:pPr>
              <w:spacing w:line="240" w:lineRule="auto"/>
              <w:rPr>
                <w:rFonts w:ascii="Calibri" w:eastAsia="+mn-ea" w:hAnsi="Calibri" w:cs="+mn-cs"/>
                <w:color w:val="000000"/>
                <w:kern w:val="24"/>
                <w:sz w:val="24"/>
                <w:szCs w:val="24"/>
                <w:lang w:val="da-DK" w:eastAsia="en-GB"/>
              </w:rPr>
            </w:pPr>
            <w:r w:rsidRPr="00AD22D8">
              <w:rPr>
                <w:rFonts w:ascii="Calibri" w:eastAsia="+mn-ea" w:hAnsi="Calibri" w:cs="+mn-cs"/>
                <w:color w:val="000000"/>
                <w:kern w:val="24"/>
                <w:sz w:val="24"/>
                <w:szCs w:val="24"/>
                <w:lang w:val="da-DK" w:eastAsia="en-GB"/>
              </w:rPr>
              <w:t>A horizontal blue band on the black portion of the mark and a horizontal yellow band on the yellow portion of the mark.</w:t>
            </w:r>
          </w:p>
          <w:p w:rsidR="00DC0588" w:rsidRPr="00A06FBA" w:rsidRDefault="00DC0588" w:rsidP="00DC0588">
            <w:pPr>
              <w:spacing w:line="240" w:lineRule="auto"/>
              <w:rPr>
                <w:rFonts w:eastAsia="Times New Roman" w:cs="Times New Roman"/>
                <w:sz w:val="24"/>
                <w:szCs w:val="24"/>
                <w:lang w:eastAsia="en-GB"/>
              </w:rPr>
            </w:pPr>
            <w:r w:rsidRPr="00A06FBA">
              <w:rPr>
                <w:rFonts w:eastAsia="Times New Roman" w:cs="Times New Roman"/>
                <w:sz w:val="24"/>
                <w:szCs w:val="24"/>
                <w:lang w:eastAsia="en-GB"/>
              </w:rPr>
              <w:t>The blue bands must be at least twice the width of the yellow bands.</w:t>
            </w:r>
          </w:p>
          <w:p w:rsidR="00DC0588" w:rsidRPr="00A06FBA" w:rsidRDefault="00DC0588" w:rsidP="00DC0588">
            <w:pPr>
              <w:spacing w:line="240" w:lineRule="auto"/>
              <w:rPr>
                <w:rFonts w:eastAsia="Times New Roman" w:cs="Times New Roman"/>
                <w:sz w:val="24"/>
                <w:szCs w:val="24"/>
                <w:lang w:eastAsia="en-GB"/>
              </w:rPr>
            </w:pPr>
            <w:r w:rsidRPr="00A06FBA">
              <w:rPr>
                <w:rFonts w:eastAsia="Times New Roman" w:cs="Times New Roman"/>
                <w:sz w:val="24"/>
                <w:szCs w:val="24"/>
                <w:lang w:eastAsia="en-GB"/>
              </w:rPr>
              <w:t>The separation distance must be at least twice the width of the yellow bands.</w:t>
            </w:r>
          </w:p>
          <w:p w:rsidR="00AD22D8" w:rsidRPr="00AD22D8" w:rsidRDefault="00AD22D8" w:rsidP="00AD22D8">
            <w:pPr>
              <w:spacing w:before="120" w:after="120" w:line="240" w:lineRule="auto"/>
              <w:rPr>
                <w:rFonts w:eastAsia="Calibri" w:cs="Calibri"/>
                <w:bCs/>
                <w:caps/>
                <w:color w:val="009FDF"/>
                <w:sz w:val="20"/>
                <w:szCs w:val="20"/>
                <w:lang w:eastAsia="en-GB"/>
              </w:rPr>
            </w:pPr>
          </w:p>
        </w:tc>
      </w:tr>
      <w:tr w:rsidR="00AD22D8" w:rsidRPr="00AD22D8" w:rsidTr="00323F5D">
        <w:tc>
          <w:tcPr>
            <w:tcW w:w="4881" w:type="dxa"/>
            <w:gridSpan w:val="2"/>
          </w:tcPr>
          <w:p w:rsidR="00AD22D8" w:rsidRPr="00AD22D8" w:rsidRDefault="00323F5D" w:rsidP="00323F5D">
            <w:pPr>
              <w:spacing w:before="120" w:after="120" w:line="240" w:lineRule="auto"/>
              <w:jc w:val="center"/>
              <w:rPr>
                <w:rFonts w:eastAsia="Calibri" w:cs="Calibri"/>
                <w:bCs/>
                <w:caps/>
                <w:color w:val="009FDF"/>
                <w:sz w:val="28"/>
                <w:lang w:eastAsia="en-GB"/>
              </w:rPr>
            </w:pPr>
            <w:r>
              <w:rPr>
                <w:rFonts w:eastAsia="Calibri" w:cs="Calibri"/>
                <w:bCs/>
                <w:caps/>
                <w:noProof/>
                <w:color w:val="009FDF"/>
                <w:sz w:val="28"/>
                <w:lang w:val="en-IE" w:eastAsia="en-IE"/>
              </w:rPr>
              <w:drawing>
                <wp:inline distT="0" distB="0" distL="0" distR="0" wp14:anchorId="68506626" wp14:editId="6F6BA4CE">
                  <wp:extent cx="1104405" cy="2665445"/>
                  <wp:effectExtent l="0" t="0" r="635" b="1905"/>
                  <wp:docPr id="20" name="Billed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28">
                            <a:extLst>
                              <a:ext uri="{28A0092B-C50C-407E-A947-70E740481C1C}">
                                <a14:useLocalDpi xmlns:a14="http://schemas.microsoft.com/office/drawing/2010/main" val="0"/>
                              </a:ext>
                            </a:extLst>
                          </a:blip>
                          <a:srcRect r="2105"/>
                          <a:stretch/>
                        </pic:blipFill>
                        <pic:spPr bwMode="auto">
                          <a:xfrm>
                            <a:off x="0" y="0"/>
                            <a:ext cx="1106698" cy="2670978"/>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831" w:type="dxa"/>
          </w:tcPr>
          <w:p w:rsidR="00AD22D8" w:rsidRPr="00AD22D8" w:rsidRDefault="00AD22D8" w:rsidP="00AD22D8">
            <w:pPr>
              <w:spacing w:line="240" w:lineRule="auto"/>
              <w:jc w:val="center"/>
              <w:rPr>
                <w:rFonts w:ascii="Times New Roman" w:eastAsia="Times New Roman" w:hAnsi="Times New Roman" w:cs="Times New Roman"/>
                <w:sz w:val="24"/>
                <w:szCs w:val="24"/>
                <w:lang w:eastAsia="en-GB"/>
              </w:rPr>
            </w:pPr>
            <w:r w:rsidRPr="00AD22D8">
              <w:rPr>
                <w:rFonts w:ascii="Calibri" w:eastAsia="+mn-ea" w:hAnsi="Calibri" w:cs="+mn-cs"/>
                <w:b/>
                <w:bCs/>
                <w:i/>
                <w:iCs/>
                <w:color w:val="000000"/>
                <w:kern w:val="24"/>
                <w:sz w:val="24"/>
                <w:szCs w:val="24"/>
                <w:lang w:val="da-DK" w:eastAsia="en-GB"/>
              </w:rPr>
              <w:t>East Cardinal Marks</w:t>
            </w:r>
          </w:p>
          <w:p w:rsidR="00AD22D8" w:rsidRPr="00AD22D8" w:rsidRDefault="00AD22D8" w:rsidP="00AD22D8">
            <w:pPr>
              <w:spacing w:line="240" w:lineRule="auto"/>
              <w:rPr>
                <w:rFonts w:ascii="Times New Roman" w:eastAsia="Times New Roman" w:hAnsi="Times New Roman" w:cs="Times New Roman"/>
                <w:sz w:val="24"/>
                <w:szCs w:val="24"/>
                <w:lang w:eastAsia="en-GB"/>
              </w:rPr>
            </w:pPr>
            <w:r w:rsidRPr="00AD22D8">
              <w:rPr>
                <w:rFonts w:ascii="Calibri" w:eastAsia="+mn-ea" w:hAnsi="Calibri" w:cs="+mn-cs"/>
                <w:color w:val="000000"/>
                <w:kern w:val="24"/>
                <w:sz w:val="24"/>
                <w:szCs w:val="24"/>
                <w:lang w:val="da-DK" w:eastAsia="en-GB"/>
              </w:rPr>
              <w:t>Two horizontal blue bands on the upper black portion of the mark.</w:t>
            </w:r>
          </w:p>
          <w:p w:rsidR="00AD22D8" w:rsidRPr="00AD22D8" w:rsidRDefault="00AD22D8" w:rsidP="00AD22D8">
            <w:pPr>
              <w:spacing w:before="120" w:after="120" w:line="240" w:lineRule="auto"/>
              <w:rPr>
                <w:rFonts w:eastAsia="Calibri" w:cs="Calibri"/>
                <w:bCs/>
                <w:caps/>
                <w:color w:val="009FDF"/>
                <w:sz w:val="28"/>
                <w:lang w:eastAsia="en-GB"/>
              </w:rPr>
            </w:pPr>
          </w:p>
        </w:tc>
      </w:tr>
      <w:tr w:rsidR="00AD22D8" w:rsidRPr="00AD22D8" w:rsidTr="00323F5D">
        <w:tc>
          <w:tcPr>
            <w:tcW w:w="4881" w:type="dxa"/>
            <w:gridSpan w:val="2"/>
          </w:tcPr>
          <w:p w:rsidR="00AD22D8" w:rsidRPr="00AD22D8" w:rsidRDefault="00BA2D76" w:rsidP="00BA2D76">
            <w:pPr>
              <w:spacing w:before="120" w:after="120" w:line="240" w:lineRule="auto"/>
              <w:jc w:val="center"/>
              <w:rPr>
                <w:rFonts w:eastAsia="Calibri" w:cs="Calibri"/>
                <w:bCs/>
                <w:caps/>
                <w:color w:val="009FDF"/>
                <w:sz w:val="28"/>
                <w:lang w:eastAsia="en-GB"/>
              </w:rPr>
            </w:pPr>
            <w:r>
              <w:rPr>
                <w:rFonts w:eastAsia="Calibri" w:cs="Calibri"/>
                <w:bCs/>
                <w:caps/>
                <w:noProof/>
                <w:color w:val="009FDF"/>
                <w:sz w:val="28"/>
                <w:lang w:val="en-IE" w:eastAsia="en-IE"/>
              </w:rPr>
              <w:drawing>
                <wp:inline distT="0" distB="0" distL="0" distR="0" wp14:anchorId="39269A6E" wp14:editId="18FF34C5">
                  <wp:extent cx="1104640" cy="2656407"/>
                  <wp:effectExtent l="0" t="0" r="635" b="0"/>
                  <wp:docPr id="16" name="Billed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108911" cy="2666677"/>
                          </a:xfrm>
                          <a:prstGeom prst="rect">
                            <a:avLst/>
                          </a:prstGeom>
                          <a:noFill/>
                          <a:ln>
                            <a:noFill/>
                          </a:ln>
                        </pic:spPr>
                      </pic:pic>
                    </a:graphicData>
                  </a:graphic>
                </wp:inline>
              </w:drawing>
            </w:r>
          </w:p>
        </w:tc>
        <w:tc>
          <w:tcPr>
            <w:tcW w:w="4831" w:type="dxa"/>
          </w:tcPr>
          <w:p w:rsidR="00AD22D8" w:rsidRPr="00AD22D8" w:rsidRDefault="00AD22D8" w:rsidP="00AD22D8">
            <w:pPr>
              <w:spacing w:line="240" w:lineRule="auto"/>
              <w:jc w:val="center"/>
              <w:rPr>
                <w:rFonts w:ascii="Times New Roman" w:eastAsia="Times New Roman" w:hAnsi="Times New Roman" w:cs="Times New Roman"/>
                <w:sz w:val="24"/>
                <w:szCs w:val="24"/>
                <w:lang w:eastAsia="en-GB"/>
              </w:rPr>
            </w:pPr>
            <w:r w:rsidRPr="00AD22D8">
              <w:rPr>
                <w:rFonts w:ascii="Calibri" w:eastAsia="+mn-ea" w:hAnsi="Calibri" w:cs="+mn-cs"/>
                <w:b/>
                <w:bCs/>
                <w:i/>
                <w:iCs/>
                <w:color w:val="000000"/>
                <w:kern w:val="24"/>
                <w:sz w:val="24"/>
                <w:szCs w:val="24"/>
                <w:lang w:val="da-DK" w:eastAsia="en-GB"/>
              </w:rPr>
              <w:t>South Cardinal Marks</w:t>
            </w:r>
          </w:p>
          <w:p w:rsidR="00AD22D8" w:rsidRDefault="00AD22D8" w:rsidP="00AD22D8">
            <w:pPr>
              <w:spacing w:line="240" w:lineRule="auto"/>
              <w:rPr>
                <w:rFonts w:ascii="Calibri" w:eastAsia="+mn-ea" w:hAnsi="Calibri" w:cs="+mn-cs"/>
                <w:color w:val="000000"/>
                <w:kern w:val="24"/>
                <w:sz w:val="24"/>
                <w:szCs w:val="24"/>
                <w:lang w:val="da-DK" w:eastAsia="en-GB"/>
              </w:rPr>
            </w:pPr>
            <w:r w:rsidRPr="00AD22D8">
              <w:rPr>
                <w:rFonts w:ascii="Calibri" w:eastAsia="+mn-ea" w:hAnsi="Calibri" w:cs="+mn-cs"/>
                <w:color w:val="000000"/>
                <w:kern w:val="24"/>
                <w:sz w:val="24"/>
                <w:szCs w:val="24"/>
                <w:lang w:val="da-DK" w:eastAsia="en-GB"/>
              </w:rPr>
              <w:t>A horizontal yellow band on the yellow portion of the mark and a horizontal blue band on the black portion of the mark.</w:t>
            </w:r>
          </w:p>
          <w:p w:rsidR="00DC0588" w:rsidRPr="00A06FBA" w:rsidRDefault="00DC0588" w:rsidP="00DC0588">
            <w:pPr>
              <w:spacing w:line="240" w:lineRule="auto"/>
              <w:rPr>
                <w:rFonts w:eastAsia="Times New Roman" w:cs="Times New Roman"/>
                <w:sz w:val="24"/>
                <w:szCs w:val="24"/>
                <w:lang w:eastAsia="en-GB"/>
              </w:rPr>
            </w:pPr>
            <w:r w:rsidRPr="00A06FBA">
              <w:rPr>
                <w:rFonts w:eastAsia="Times New Roman" w:cs="Times New Roman"/>
                <w:sz w:val="24"/>
                <w:szCs w:val="24"/>
                <w:lang w:eastAsia="en-GB"/>
              </w:rPr>
              <w:t>The blue bands must be at least twice the width of the yellow bands.</w:t>
            </w:r>
          </w:p>
          <w:p w:rsidR="00DC0588" w:rsidRPr="00A06FBA" w:rsidRDefault="00DC0588" w:rsidP="00DC0588">
            <w:pPr>
              <w:spacing w:line="240" w:lineRule="auto"/>
              <w:rPr>
                <w:rFonts w:eastAsia="Times New Roman" w:cs="Times New Roman"/>
                <w:sz w:val="24"/>
                <w:szCs w:val="24"/>
                <w:lang w:eastAsia="en-GB"/>
              </w:rPr>
            </w:pPr>
            <w:r w:rsidRPr="00A06FBA">
              <w:rPr>
                <w:rFonts w:eastAsia="Times New Roman" w:cs="Times New Roman"/>
                <w:sz w:val="24"/>
                <w:szCs w:val="24"/>
                <w:lang w:eastAsia="en-GB"/>
              </w:rPr>
              <w:t>The separation distance must be at least twice the width of the yellow bands.</w:t>
            </w:r>
          </w:p>
          <w:p w:rsidR="00AD22D8" w:rsidRPr="00AD22D8" w:rsidRDefault="00AD22D8" w:rsidP="00AD22D8">
            <w:pPr>
              <w:spacing w:before="120" w:after="120" w:line="240" w:lineRule="auto"/>
              <w:rPr>
                <w:rFonts w:eastAsia="Calibri" w:cs="Calibri"/>
                <w:bCs/>
                <w:caps/>
                <w:color w:val="009FDF"/>
                <w:sz w:val="28"/>
                <w:lang w:eastAsia="en-GB"/>
              </w:rPr>
            </w:pPr>
          </w:p>
        </w:tc>
      </w:tr>
      <w:tr w:rsidR="00AD22D8" w:rsidRPr="00AD22D8" w:rsidTr="00323F5D">
        <w:tc>
          <w:tcPr>
            <w:tcW w:w="4881" w:type="dxa"/>
            <w:gridSpan w:val="2"/>
          </w:tcPr>
          <w:p w:rsidR="00AD22D8" w:rsidRPr="00AD22D8" w:rsidRDefault="00BA2D76" w:rsidP="00BA2D76">
            <w:pPr>
              <w:spacing w:before="120" w:after="120" w:line="240" w:lineRule="auto"/>
              <w:jc w:val="center"/>
              <w:rPr>
                <w:rFonts w:eastAsia="Calibri" w:cs="Calibri"/>
                <w:bCs/>
                <w:caps/>
                <w:color w:val="009FDF"/>
                <w:sz w:val="28"/>
                <w:lang w:eastAsia="en-GB"/>
              </w:rPr>
            </w:pPr>
            <w:r>
              <w:rPr>
                <w:rFonts w:eastAsia="Calibri" w:cs="Calibri"/>
                <w:bCs/>
                <w:caps/>
                <w:noProof/>
                <w:color w:val="009FDF"/>
                <w:sz w:val="28"/>
                <w:lang w:val="en-IE" w:eastAsia="en-IE"/>
              </w:rPr>
              <w:lastRenderedPageBreak/>
              <w:drawing>
                <wp:inline distT="0" distB="0" distL="0" distR="0" wp14:anchorId="6FFBC1D4" wp14:editId="2847C393">
                  <wp:extent cx="1112675" cy="2620231"/>
                  <wp:effectExtent l="0" t="0" r="0" b="8890"/>
                  <wp:docPr id="17" name="Billed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112670" cy="2620220"/>
                          </a:xfrm>
                          <a:prstGeom prst="rect">
                            <a:avLst/>
                          </a:prstGeom>
                          <a:noFill/>
                          <a:ln>
                            <a:noFill/>
                          </a:ln>
                        </pic:spPr>
                      </pic:pic>
                    </a:graphicData>
                  </a:graphic>
                </wp:inline>
              </w:drawing>
            </w:r>
          </w:p>
        </w:tc>
        <w:tc>
          <w:tcPr>
            <w:tcW w:w="4831" w:type="dxa"/>
          </w:tcPr>
          <w:p w:rsidR="00AD22D8" w:rsidRPr="00AD22D8" w:rsidRDefault="00AD22D8" w:rsidP="00AD22D8">
            <w:pPr>
              <w:spacing w:line="240" w:lineRule="auto"/>
              <w:jc w:val="center"/>
              <w:rPr>
                <w:rFonts w:ascii="Times New Roman" w:eastAsia="Times New Roman" w:hAnsi="Times New Roman" w:cs="Times New Roman"/>
                <w:sz w:val="24"/>
                <w:szCs w:val="24"/>
                <w:lang w:eastAsia="en-GB"/>
              </w:rPr>
            </w:pPr>
            <w:r w:rsidRPr="00AD22D8">
              <w:rPr>
                <w:rFonts w:ascii="Calibri" w:eastAsia="+mn-ea" w:hAnsi="Calibri" w:cs="+mn-cs"/>
                <w:b/>
                <w:bCs/>
                <w:i/>
                <w:iCs/>
                <w:color w:val="000000"/>
                <w:kern w:val="24"/>
                <w:sz w:val="24"/>
                <w:szCs w:val="24"/>
                <w:lang w:val="da-DK" w:eastAsia="en-GB"/>
              </w:rPr>
              <w:t>West Cardinal Marks</w:t>
            </w:r>
          </w:p>
          <w:p w:rsidR="00AD22D8" w:rsidRPr="00AD22D8" w:rsidRDefault="00AD22D8" w:rsidP="00AD22D8">
            <w:pPr>
              <w:spacing w:line="240" w:lineRule="auto"/>
              <w:rPr>
                <w:rFonts w:ascii="Times New Roman" w:eastAsia="Times New Roman" w:hAnsi="Times New Roman" w:cs="Times New Roman"/>
                <w:sz w:val="24"/>
                <w:szCs w:val="24"/>
                <w:lang w:eastAsia="en-GB"/>
              </w:rPr>
            </w:pPr>
            <w:r w:rsidRPr="00AD22D8">
              <w:rPr>
                <w:rFonts w:ascii="Calibri" w:eastAsia="+mn-ea" w:hAnsi="Calibri" w:cs="+mn-cs"/>
                <w:color w:val="000000"/>
                <w:kern w:val="24"/>
                <w:sz w:val="24"/>
                <w:szCs w:val="24"/>
                <w:lang w:val="da-DK" w:eastAsia="en-GB"/>
              </w:rPr>
              <w:t>Two horizontal yellow bands on the upper yellow portion of the mark.</w:t>
            </w:r>
          </w:p>
          <w:p w:rsidR="00AD22D8" w:rsidRPr="00AD22D8" w:rsidRDefault="00AD22D8" w:rsidP="00AD22D8">
            <w:pPr>
              <w:spacing w:before="120" w:after="120" w:line="240" w:lineRule="auto"/>
              <w:rPr>
                <w:rFonts w:eastAsia="Calibri" w:cs="Calibri"/>
                <w:bCs/>
                <w:caps/>
                <w:color w:val="009FDF"/>
                <w:sz w:val="28"/>
                <w:lang w:eastAsia="en-GB"/>
              </w:rPr>
            </w:pPr>
          </w:p>
        </w:tc>
      </w:tr>
    </w:tbl>
    <w:p w:rsidR="00AD22D8" w:rsidRDefault="00AD22D8" w:rsidP="00885E37">
      <w:pPr>
        <w:pStyle w:val="BodyText"/>
        <w:jc w:val="center"/>
      </w:pPr>
    </w:p>
    <w:p w:rsidR="00885E37" w:rsidRDefault="00885E37" w:rsidP="00C81A54">
      <w:pPr>
        <w:pStyle w:val="Figurecaption"/>
        <w:numPr>
          <w:ilvl w:val="0"/>
          <w:numId w:val="0"/>
        </w:numPr>
        <w:ind w:left="992"/>
      </w:pPr>
    </w:p>
    <w:p w:rsidR="00A908A3" w:rsidRDefault="00A908A3" w:rsidP="00A908A3"/>
    <w:p w:rsidR="00FD3516" w:rsidRDefault="00FD3516" w:rsidP="00A908A3"/>
    <w:p w:rsidR="00FD3516" w:rsidRDefault="00FD3516" w:rsidP="00A908A3"/>
    <w:p w:rsidR="00FD3516" w:rsidRDefault="00FD3516" w:rsidP="00A908A3"/>
    <w:p w:rsidR="00FD3516" w:rsidRDefault="00FD3516" w:rsidP="00A908A3"/>
    <w:p w:rsidR="001401B8" w:rsidRDefault="001401B8" w:rsidP="00A908A3"/>
    <w:p w:rsidR="001401B8" w:rsidRPr="00A908A3" w:rsidRDefault="001401B8" w:rsidP="00A908A3"/>
    <w:p w:rsidR="006E0690" w:rsidRDefault="006E0690" w:rsidP="00E07C54">
      <w:pPr>
        <w:pStyle w:val="BodyText"/>
        <w:jc w:val="center"/>
      </w:pPr>
    </w:p>
    <w:p w:rsidR="00AD22D8" w:rsidRDefault="00AD22D8" w:rsidP="00E07C54">
      <w:pPr>
        <w:pStyle w:val="BodyText"/>
        <w:jc w:val="center"/>
      </w:pPr>
    </w:p>
    <w:p w:rsidR="00AD22D8" w:rsidRDefault="00AD22D8" w:rsidP="00E07C54">
      <w:pPr>
        <w:pStyle w:val="BodyText"/>
        <w:jc w:val="center"/>
      </w:pPr>
    </w:p>
    <w:p w:rsidR="00AD22D8" w:rsidRDefault="00AD22D8" w:rsidP="00E07C54">
      <w:pPr>
        <w:pStyle w:val="BodyText"/>
        <w:jc w:val="center"/>
      </w:pPr>
    </w:p>
    <w:p w:rsidR="00AD22D8" w:rsidRDefault="00AD22D8" w:rsidP="00E07C54">
      <w:pPr>
        <w:pStyle w:val="BodyText"/>
        <w:jc w:val="center"/>
      </w:pPr>
    </w:p>
    <w:p w:rsidR="00AD22D8" w:rsidRDefault="00AD22D8" w:rsidP="00E07C54">
      <w:pPr>
        <w:pStyle w:val="BodyText"/>
        <w:jc w:val="center"/>
      </w:pPr>
    </w:p>
    <w:p w:rsidR="00AD22D8" w:rsidRDefault="00AD22D8" w:rsidP="00E07C54">
      <w:pPr>
        <w:pStyle w:val="BodyText"/>
        <w:jc w:val="center"/>
      </w:pPr>
    </w:p>
    <w:p w:rsidR="00AD22D8" w:rsidRDefault="00AD22D8" w:rsidP="00E07C54">
      <w:pPr>
        <w:pStyle w:val="BodyText"/>
        <w:jc w:val="center"/>
      </w:pPr>
    </w:p>
    <w:p w:rsidR="00AD22D8" w:rsidRDefault="00AD22D8" w:rsidP="00E07C54">
      <w:pPr>
        <w:pStyle w:val="BodyText"/>
        <w:jc w:val="center"/>
      </w:pPr>
    </w:p>
    <w:p w:rsidR="00AD22D8" w:rsidRDefault="00AD22D8" w:rsidP="00E07C54">
      <w:pPr>
        <w:pStyle w:val="BodyText"/>
        <w:jc w:val="center"/>
      </w:pPr>
    </w:p>
    <w:p w:rsidR="00AD22D8" w:rsidRDefault="00AD22D8" w:rsidP="00E07C54">
      <w:pPr>
        <w:pStyle w:val="BodyText"/>
        <w:jc w:val="center"/>
      </w:pPr>
    </w:p>
    <w:p w:rsidR="00AD22D8" w:rsidRDefault="00AD22D8" w:rsidP="00E07C54">
      <w:pPr>
        <w:pStyle w:val="BodyText"/>
        <w:jc w:val="center"/>
      </w:pPr>
    </w:p>
    <w:p w:rsidR="0024236C" w:rsidRDefault="0024236C" w:rsidP="00E07C54">
      <w:pPr>
        <w:pStyle w:val="BodyText"/>
        <w:jc w:val="center"/>
      </w:pPr>
    </w:p>
    <w:p w:rsidR="00AD22D8" w:rsidRDefault="00AD22D8" w:rsidP="00E07C54">
      <w:pPr>
        <w:pStyle w:val="BodyText"/>
        <w:jc w:val="center"/>
      </w:pPr>
    </w:p>
    <w:p w:rsidR="00BA2D76" w:rsidRDefault="00BA2D76" w:rsidP="00E07C54">
      <w:pPr>
        <w:pStyle w:val="BodyText"/>
        <w:jc w:val="center"/>
      </w:pPr>
    </w:p>
    <w:p w:rsidR="00EA2E87" w:rsidRDefault="00EA2E87" w:rsidP="00E07C54">
      <w:pPr>
        <w:pStyle w:val="BodyText"/>
        <w:jc w:val="center"/>
      </w:pPr>
    </w:p>
    <w:p w:rsidR="00AD22D8" w:rsidRDefault="00AD22D8" w:rsidP="00E07C54">
      <w:pPr>
        <w:pStyle w:val="BodyText"/>
        <w:jc w:val="center"/>
      </w:pPr>
    </w:p>
    <w:tbl>
      <w:tblPr>
        <w:tblStyle w:val="Tabel-Gitter2"/>
        <w:tblW w:w="0" w:type="auto"/>
        <w:tblInd w:w="709" w:type="dxa"/>
        <w:tblLook w:val="04A0" w:firstRow="1" w:lastRow="0" w:firstColumn="1" w:lastColumn="0" w:noHBand="0" w:noVBand="1"/>
      </w:tblPr>
      <w:tblGrid>
        <w:gridCol w:w="4849"/>
        <w:gridCol w:w="4863"/>
      </w:tblGrid>
      <w:tr w:rsidR="00AD22D8" w:rsidRPr="00AD22D8" w:rsidTr="00BA2D76">
        <w:trPr>
          <w:trHeight w:val="472"/>
        </w:trPr>
        <w:tc>
          <w:tcPr>
            <w:tcW w:w="4849" w:type="dxa"/>
          </w:tcPr>
          <w:p w:rsidR="00AD22D8" w:rsidRPr="00EA2E87" w:rsidRDefault="00EA2E87" w:rsidP="0024236C">
            <w:pPr>
              <w:spacing w:before="120" w:after="120" w:line="240" w:lineRule="auto"/>
              <w:rPr>
                <w:rFonts w:eastAsia="Calibri" w:cs="Calibri"/>
                <w:bCs/>
                <w:caps/>
                <w:color w:val="009FDF"/>
                <w:sz w:val="20"/>
                <w:szCs w:val="20"/>
                <w:lang w:eastAsia="en-GB"/>
              </w:rPr>
            </w:pPr>
            <w:r w:rsidRPr="00EA2E87">
              <w:rPr>
                <w:rFonts w:eastAsia="Calibri" w:cs="Calibri"/>
                <w:bCs/>
                <w:caps/>
                <w:sz w:val="20"/>
                <w:szCs w:val="20"/>
                <w:lang w:eastAsia="en-GB"/>
              </w:rPr>
              <w:lastRenderedPageBreak/>
              <w:t xml:space="preserve">C: COLOUR OF THE </w:t>
            </w:r>
            <w:r w:rsidR="0024236C">
              <w:rPr>
                <w:rFonts w:eastAsia="Calibri" w:cs="Calibri"/>
                <w:bCs/>
                <w:caps/>
                <w:sz w:val="20"/>
                <w:szCs w:val="20"/>
                <w:lang w:eastAsia="en-GB"/>
              </w:rPr>
              <w:t>MARK</w:t>
            </w:r>
            <w:r w:rsidRPr="00EA2E87">
              <w:rPr>
                <w:rFonts w:eastAsia="Calibri" w:cs="Calibri"/>
                <w:bCs/>
                <w:caps/>
                <w:sz w:val="20"/>
                <w:szCs w:val="20"/>
                <w:lang w:eastAsia="en-GB"/>
              </w:rPr>
              <w:t xml:space="preserve">,                                                       R: RETROREFLECTING MATERIAL  </w:t>
            </w:r>
          </w:p>
        </w:tc>
        <w:tc>
          <w:tcPr>
            <w:tcW w:w="4863" w:type="dxa"/>
          </w:tcPr>
          <w:p w:rsidR="00AD22D8" w:rsidRPr="00AD22D8" w:rsidRDefault="00AD22D8" w:rsidP="00AD22D8">
            <w:pPr>
              <w:spacing w:line="240" w:lineRule="auto"/>
              <w:rPr>
                <w:rFonts w:eastAsia="Calibri" w:cs="Calibri"/>
                <w:bCs/>
                <w:caps/>
                <w:color w:val="009FDF"/>
                <w:sz w:val="20"/>
                <w:szCs w:val="20"/>
                <w:lang w:eastAsia="en-GB"/>
              </w:rPr>
            </w:pPr>
          </w:p>
        </w:tc>
      </w:tr>
      <w:tr w:rsidR="00AD22D8" w:rsidRPr="00AD22D8" w:rsidTr="00BA2D76">
        <w:tc>
          <w:tcPr>
            <w:tcW w:w="4849" w:type="dxa"/>
          </w:tcPr>
          <w:p w:rsidR="00AD22D8" w:rsidRPr="00AD22D8" w:rsidRDefault="00AD22D8" w:rsidP="00AD22D8">
            <w:pPr>
              <w:spacing w:before="120" w:after="120" w:line="240" w:lineRule="auto"/>
              <w:rPr>
                <w:rFonts w:eastAsia="Calibri" w:cs="Calibri"/>
                <w:bCs/>
                <w:caps/>
                <w:color w:val="009FDF"/>
                <w:sz w:val="28"/>
                <w:lang w:eastAsia="en-GB"/>
              </w:rPr>
            </w:pPr>
            <w:r w:rsidRPr="00AD22D8">
              <w:rPr>
                <w:rFonts w:eastAsia="Calibri" w:cs="Calibri"/>
                <w:bCs/>
                <w:caps/>
                <w:sz w:val="28"/>
                <w:lang w:eastAsia="en-GB"/>
              </w:rPr>
              <w:t>Aspect by Night</w:t>
            </w:r>
          </w:p>
        </w:tc>
        <w:tc>
          <w:tcPr>
            <w:tcW w:w="4863" w:type="dxa"/>
          </w:tcPr>
          <w:p w:rsidR="00AD22D8" w:rsidRPr="00AD22D8" w:rsidRDefault="00AD22D8" w:rsidP="00AD22D8">
            <w:pPr>
              <w:spacing w:before="120" w:after="120" w:line="240" w:lineRule="auto"/>
              <w:rPr>
                <w:rFonts w:eastAsia="Calibri" w:cs="Calibri"/>
                <w:bCs/>
                <w:caps/>
                <w:color w:val="009FDF"/>
                <w:sz w:val="28"/>
                <w:lang w:eastAsia="en-GB"/>
              </w:rPr>
            </w:pPr>
            <w:r w:rsidRPr="00AD22D8">
              <w:rPr>
                <w:rFonts w:eastAsia="Calibri" w:cs="Calibri"/>
                <w:bCs/>
                <w:caps/>
                <w:sz w:val="28"/>
                <w:lang w:eastAsia="en-GB"/>
              </w:rPr>
              <w:t>Type of Mark and Code</w:t>
            </w:r>
          </w:p>
        </w:tc>
      </w:tr>
      <w:tr w:rsidR="00AD22D8" w:rsidRPr="00AD22D8" w:rsidTr="00BA2D76">
        <w:tc>
          <w:tcPr>
            <w:tcW w:w="4849" w:type="dxa"/>
          </w:tcPr>
          <w:p w:rsidR="00AD22D8" w:rsidRPr="00AD22D8" w:rsidRDefault="00AD22D8" w:rsidP="00AD22D8">
            <w:pPr>
              <w:spacing w:before="120" w:after="120" w:line="240" w:lineRule="auto"/>
              <w:rPr>
                <w:rFonts w:eastAsia="Calibri" w:cs="Calibri"/>
                <w:bCs/>
                <w:caps/>
                <w:color w:val="009FDF"/>
                <w:sz w:val="28"/>
                <w:lang w:eastAsia="en-GB"/>
              </w:rPr>
            </w:pPr>
          </w:p>
          <w:p w:rsidR="00AD22D8" w:rsidRPr="00AD22D8" w:rsidRDefault="00667C9B" w:rsidP="00A06FBA">
            <w:pPr>
              <w:numPr>
                <w:ilvl w:val="3"/>
                <w:numId w:val="0"/>
              </w:numPr>
              <w:spacing w:before="120" w:after="120"/>
              <w:ind w:left="1134" w:hanging="1134"/>
              <w:jc w:val="center"/>
              <w:rPr>
                <w:rFonts w:eastAsia="Calibri" w:cs="Calibri"/>
                <w:b/>
                <w:color w:val="009FDF"/>
                <w:sz w:val="22"/>
                <w:lang w:eastAsia="en-GB"/>
              </w:rPr>
            </w:pPr>
            <w:r>
              <w:rPr>
                <w:rFonts w:eastAsia="Calibri" w:cs="Calibri"/>
                <w:b/>
                <w:noProof/>
                <w:color w:val="009FDF"/>
                <w:sz w:val="22"/>
                <w:lang w:val="en-IE" w:eastAsia="en-IE"/>
              </w:rPr>
              <w:drawing>
                <wp:inline distT="0" distB="0" distL="0" distR="0" wp14:anchorId="5D942A91" wp14:editId="1831EDE5">
                  <wp:extent cx="1070053" cy="3280613"/>
                  <wp:effectExtent l="0" t="0" r="0" b="0"/>
                  <wp:docPr id="22" name="Billed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070053" cy="3280613"/>
                          </a:xfrm>
                          <a:prstGeom prst="rect">
                            <a:avLst/>
                          </a:prstGeom>
                          <a:noFill/>
                          <a:ln>
                            <a:noFill/>
                          </a:ln>
                        </pic:spPr>
                      </pic:pic>
                    </a:graphicData>
                  </a:graphic>
                </wp:inline>
              </w:drawing>
            </w:r>
          </w:p>
        </w:tc>
        <w:tc>
          <w:tcPr>
            <w:tcW w:w="4863" w:type="dxa"/>
          </w:tcPr>
          <w:p w:rsidR="00AD22D8" w:rsidRPr="00DC0588" w:rsidRDefault="00AD22D8" w:rsidP="00A06FBA">
            <w:pPr>
              <w:spacing w:line="240" w:lineRule="auto"/>
              <w:rPr>
                <w:rFonts w:ascii="Times New Roman" w:eastAsia="Times New Roman" w:hAnsi="Times New Roman" w:cs="Times New Roman"/>
                <w:sz w:val="24"/>
                <w:szCs w:val="24"/>
                <w:lang w:eastAsia="en-GB"/>
              </w:rPr>
            </w:pPr>
            <w:r w:rsidRPr="00A06FBA">
              <w:rPr>
                <w:rFonts w:ascii="Calibri" w:eastAsia="+mn-ea" w:hAnsi="Calibri" w:cs="+mn-cs"/>
                <w:b/>
                <w:bCs/>
                <w:iCs/>
                <w:color w:val="000000"/>
                <w:kern w:val="24"/>
                <w:sz w:val="24"/>
                <w:szCs w:val="24"/>
                <w:lang w:val="da-DK" w:eastAsia="en-GB"/>
              </w:rPr>
              <w:t>Red Preferred Channel Lateral Marks</w:t>
            </w:r>
          </w:p>
          <w:p w:rsidR="00DC0588" w:rsidRPr="00A06FBA" w:rsidRDefault="00AD22D8" w:rsidP="00A06FBA">
            <w:pPr>
              <w:spacing w:line="240" w:lineRule="auto"/>
              <w:rPr>
                <w:rFonts w:ascii="Calibri" w:eastAsia="+mn-ea" w:hAnsi="Calibri" w:cs="+mn-cs"/>
                <w:iCs/>
                <w:color w:val="000000"/>
                <w:kern w:val="24"/>
                <w:sz w:val="24"/>
                <w:szCs w:val="24"/>
                <w:lang w:val="da-DK" w:eastAsia="en-GB"/>
              </w:rPr>
            </w:pPr>
            <w:r w:rsidRPr="00A06FBA">
              <w:rPr>
                <w:rFonts w:ascii="Calibri" w:eastAsia="+mn-ea" w:hAnsi="Calibri" w:cs="+mn-cs"/>
                <w:iCs/>
                <w:color w:val="000000"/>
                <w:kern w:val="24"/>
                <w:sz w:val="24"/>
                <w:szCs w:val="24"/>
                <w:lang w:val="da-DK" w:eastAsia="en-GB"/>
              </w:rPr>
              <w:t xml:space="preserve">Two horizontal red bands separated by a central green band </w:t>
            </w:r>
            <w:r w:rsidR="009D6042">
              <w:rPr>
                <w:rFonts w:ascii="Calibri" w:eastAsia="+mn-ea" w:hAnsi="Calibri" w:cs="+mn-cs"/>
                <w:iCs/>
                <w:color w:val="000000"/>
                <w:kern w:val="24"/>
                <w:sz w:val="24"/>
                <w:szCs w:val="24"/>
                <w:lang w:val="da-DK" w:eastAsia="en-GB"/>
              </w:rPr>
              <w:t>o</w:t>
            </w:r>
            <w:r w:rsidR="000D0321">
              <w:rPr>
                <w:rFonts w:ascii="Calibri" w:eastAsia="+mn-ea" w:hAnsi="Calibri" w:cs="+mn-cs"/>
                <w:iCs/>
                <w:color w:val="000000"/>
                <w:kern w:val="24"/>
                <w:sz w:val="24"/>
                <w:szCs w:val="24"/>
                <w:lang w:val="da-DK" w:eastAsia="en-GB"/>
              </w:rPr>
              <w:t xml:space="preserve">n upper part of the buoy </w:t>
            </w:r>
            <w:r w:rsidRPr="00A06FBA">
              <w:rPr>
                <w:rFonts w:ascii="Calibri" w:eastAsia="+mn-ea" w:hAnsi="Calibri" w:cs="+mn-cs"/>
                <w:iCs/>
                <w:color w:val="000000"/>
                <w:kern w:val="24"/>
                <w:sz w:val="24"/>
                <w:szCs w:val="24"/>
                <w:lang w:val="da-DK" w:eastAsia="en-GB"/>
              </w:rPr>
              <w:t>indicates a preferred channel to Starboard in Region A and a preferred channel to Port in Region B.</w:t>
            </w:r>
          </w:p>
          <w:p w:rsidR="00AD22D8" w:rsidRPr="00DC0588" w:rsidRDefault="00AD22D8" w:rsidP="00A06FBA">
            <w:pPr>
              <w:spacing w:line="240" w:lineRule="auto"/>
              <w:rPr>
                <w:rFonts w:ascii="Times New Roman" w:eastAsia="Times New Roman" w:hAnsi="Times New Roman" w:cs="Times New Roman"/>
                <w:sz w:val="24"/>
                <w:szCs w:val="24"/>
                <w:lang w:eastAsia="en-GB"/>
              </w:rPr>
            </w:pPr>
            <w:r w:rsidRPr="00A06FBA">
              <w:rPr>
                <w:rFonts w:ascii="Calibri" w:eastAsia="+mn-ea" w:hAnsi="Calibri" w:cs="+mn-cs"/>
                <w:iCs/>
                <w:color w:val="000000"/>
                <w:kern w:val="24"/>
                <w:sz w:val="24"/>
                <w:szCs w:val="24"/>
                <w:lang w:val="da-DK" w:eastAsia="en-GB"/>
              </w:rPr>
              <w:t xml:space="preserve"> </w:t>
            </w:r>
            <w:r w:rsidR="00DC0588" w:rsidRPr="00A06FBA">
              <w:rPr>
                <w:rFonts w:ascii="Calibri" w:eastAsia="+mn-ea" w:hAnsi="Calibri" w:cs="+mn-cs"/>
                <w:iCs/>
                <w:color w:val="000000"/>
                <w:kern w:val="24"/>
                <w:sz w:val="24"/>
                <w:szCs w:val="24"/>
                <w:lang w:val="da-DK" w:eastAsia="en-GB"/>
              </w:rPr>
              <w:t>The green and the red bands should be of equal width and separated by a distance at least equal to the width of a band.</w:t>
            </w:r>
          </w:p>
          <w:p w:rsidR="00AD22D8" w:rsidRPr="00AD22D8" w:rsidRDefault="00AD22D8" w:rsidP="00AD22D8">
            <w:pPr>
              <w:spacing w:before="120" w:after="120" w:line="240" w:lineRule="auto"/>
              <w:rPr>
                <w:rFonts w:eastAsia="Calibri" w:cs="Calibri"/>
                <w:bCs/>
                <w:caps/>
                <w:color w:val="009FDF"/>
                <w:sz w:val="22"/>
                <w:lang w:eastAsia="en-GB"/>
              </w:rPr>
            </w:pPr>
          </w:p>
        </w:tc>
      </w:tr>
      <w:tr w:rsidR="00AD22D8" w:rsidRPr="00AD22D8" w:rsidTr="00BA2D76">
        <w:tc>
          <w:tcPr>
            <w:tcW w:w="4849" w:type="dxa"/>
          </w:tcPr>
          <w:p w:rsidR="00AD22D8" w:rsidRPr="00AD22D8" w:rsidRDefault="00667C9B" w:rsidP="00A06FBA">
            <w:pPr>
              <w:spacing w:before="120" w:after="120" w:line="240" w:lineRule="auto"/>
              <w:jc w:val="center"/>
              <w:rPr>
                <w:rFonts w:eastAsia="Calibri" w:cs="Calibri"/>
                <w:bCs/>
                <w:caps/>
                <w:color w:val="009FDF"/>
                <w:sz w:val="28"/>
                <w:lang w:eastAsia="en-GB"/>
              </w:rPr>
            </w:pPr>
            <w:r>
              <w:rPr>
                <w:rFonts w:eastAsia="Calibri" w:cs="Calibri"/>
                <w:bCs/>
                <w:caps/>
                <w:noProof/>
                <w:color w:val="009FDF"/>
                <w:sz w:val="28"/>
                <w:lang w:val="en-IE" w:eastAsia="en-IE"/>
              </w:rPr>
              <w:drawing>
                <wp:inline distT="0" distB="0" distL="0" distR="0" wp14:anchorId="4E802F46" wp14:editId="26A27C67">
                  <wp:extent cx="1049714" cy="3209441"/>
                  <wp:effectExtent l="0" t="0" r="0" b="0"/>
                  <wp:docPr id="23" name="Billed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048802" cy="3206654"/>
                          </a:xfrm>
                          <a:prstGeom prst="rect">
                            <a:avLst/>
                          </a:prstGeom>
                          <a:noFill/>
                          <a:ln>
                            <a:noFill/>
                          </a:ln>
                        </pic:spPr>
                      </pic:pic>
                    </a:graphicData>
                  </a:graphic>
                </wp:inline>
              </w:drawing>
            </w:r>
          </w:p>
        </w:tc>
        <w:tc>
          <w:tcPr>
            <w:tcW w:w="4863" w:type="dxa"/>
          </w:tcPr>
          <w:p w:rsidR="00AD22D8" w:rsidRPr="00DC0588" w:rsidRDefault="00AD22D8" w:rsidP="00A06FBA">
            <w:pPr>
              <w:spacing w:line="240" w:lineRule="auto"/>
              <w:rPr>
                <w:rFonts w:ascii="Times New Roman" w:eastAsia="Times New Roman" w:hAnsi="Times New Roman" w:cs="Times New Roman"/>
                <w:sz w:val="24"/>
                <w:szCs w:val="24"/>
                <w:lang w:eastAsia="en-GB"/>
              </w:rPr>
            </w:pPr>
            <w:r w:rsidRPr="00A06FBA">
              <w:rPr>
                <w:rFonts w:ascii="Calibri" w:eastAsia="+mn-ea" w:hAnsi="Calibri" w:cs="+mn-cs"/>
                <w:b/>
                <w:bCs/>
                <w:iCs/>
                <w:color w:val="000000"/>
                <w:kern w:val="24"/>
                <w:sz w:val="24"/>
                <w:szCs w:val="24"/>
                <w:lang w:val="da-DK" w:eastAsia="en-GB"/>
              </w:rPr>
              <w:t>Green Preferred Channel Lateral Marks</w:t>
            </w:r>
          </w:p>
          <w:p w:rsidR="00DC0588" w:rsidRDefault="00AD22D8" w:rsidP="00A06FBA">
            <w:pPr>
              <w:spacing w:line="240" w:lineRule="auto"/>
              <w:rPr>
                <w:rFonts w:ascii="Calibri" w:eastAsia="+mn-ea" w:hAnsi="Calibri" w:cs="+mn-cs"/>
                <w:iCs/>
                <w:color w:val="000000"/>
                <w:kern w:val="24"/>
                <w:sz w:val="24"/>
                <w:szCs w:val="24"/>
                <w:lang w:val="da-DK" w:eastAsia="en-GB"/>
              </w:rPr>
            </w:pPr>
            <w:r w:rsidRPr="00A06FBA">
              <w:rPr>
                <w:rFonts w:ascii="Calibri" w:eastAsia="+mn-ea" w:hAnsi="Calibri" w:cs="+mn-cs"/>
                <w:iCs/>
                <w:color w:val="000000"/>
                <w:kern w:val="24"/>
                <w:sz w:val="24"/>
                <w:szCs w:val="24"/>
                <w:lang w:val="da-DK" w:eastAsia="en-GB"/>
              </w:rPr>
              <w:t xml:space="preserve">Two horizontal green bands separated by a central red band </w:t>
            </w:r>
            <w:r w:rsidR="009D6042">
              <w:rPr>
                <w:rFonts w:ascii="Calibri" w:eastAsia="+mn-ea" w:hAnsi="Calibri" w:cs="+mn-cs"/>
                <w:iCs/>
                <w:color w:val="000000"/>
                <w:kern w:val="24"/>
                <w:sz w:val="24"/>
                <w:szCs w:val="24"/>
                <w:lang w:val="da-DK" w:eastAsia="en-GB"/>
              </w:rPr>
              <w:t xml:space="preserve">on upper part of the buoy </w:t>
            </w:r>
            <w:r w:rsidRPr="00A06FBA">
              <w:rPr>
                <w:rFonts w:ascii="Calibri" w:eastAsia="+mn-ea" w:hAnsi="Calibri" w:cs="+mn-cs"/>
                <w:iCs/>
                <w:color w:val="000000"/>
                <w:kern w:val="24"/>
                <w:sz w:val="24"/>
                <w:szCs w:val="24"/>
                <w:lang w:val="da-DK" w:eastAsia="en-GB"/>
              </w:rPr>
              <w:t>indicates a preferred channel to Port in Region A and a preferred channel to Starboard in Region B.</w:t>
            </w:r>
          </w:p>
          <w:p w:rsidR="00AD22D8" w:rsidRPr="00DC0588" w:rsidRDefault="00DC0588" w:rsidP="00A06FBA">
            <w:pPr>
              <w:spacing w:line="240" w:lineRule="auto"/>
              <w:rPr>
                <w:rFonts w:ascii="Times New Roman" w:eastAsia="Times New Roman" w:hAnsi="Times New Roman" w:cs="Times New Roman"/>
                <w:sz w:val="24"/>
                <w:szCs w:val="24"/>
                <w:lang w:eastAsia="en-GB"/>
              </w:rPr>
            </w:pPr>
            <w:r>
              <w:rPr>
                <w:rFonts w:ascii="Calibri" w:eastAsia="+mn-ea" w:hAnsi="Calibri" w:cs="+mn-cs"/>
                <w:iCs/>
                <w:color w:val="000000"/>
                <w:kern w:val="24"/>
                <w:sz w:val="24"/>
                <w:szCs w:val="24"/>
                <w:lang w:val="da-DK" w:eastAsia="en-GB"/>
              </w:rPr>
              <w:t>T</w:t>
            </w:r>
            <w:r w:rsidRPr="00DC0588">
              <w:rPr>
                <w:rFonts w:ascii="Calibri" w:eastAsia="+mn-ea" w:hAnsi="Calibri" w:cs="+mn-cs"/>
                <w:iCs/>
                <w:color w:val="000000"/>
                <w:kern w:val="24"/>
                <w:sz w:val="24"/>
                <w:szCs w:val="24"/>
                <w:lang w:val="da-DK" w:eastAsia="en-GB"/>
              </w:rPr>
              <w:t xml:space="preserve">he green and the red bands should be of equal width and separated by a distance at least equal to the width of a band. </w:t>
            </w:r>
            <w:r w:rsidR="00AD22D8" w:rsidRPr="00A06FBA">
              <w:rPr>
                <w:rFonts w:ascii="Calibri" w:eastAsia="+mn-ea" w:hAnsi="Calibri" w:cs="+mn-cs"/>
                <w:iCs/>
                <w:color w:val="000000"/>
                <w:kern w:val="24"/>
                <w:sz w:val="24"/>
                <w:szCs w:val="24"/>
                <w:lang w:val="da-DK" w:eastAsia="en-GB"/>
              </w:rPr>
              <w:t xml:space="preserve"> </w:t>
            </w:r>
          </w:p>
          <w:p w:rsidR="00AD22D8" w:rsidRPr="00AD22D8" w:rsidRDefault="00AD22D8" w:rsidP="00AD22D8">
            <w:pPr>
              <w:spacing w:before="120" w:after="120" w:line="240" w:lineRule="auto"/>
              <w:rPr>
                <w:rFonts w:eastAsia="Calibri" w:cs="Calibri"/>
                <w:bCs/>
                <w:caps/>
                <w:color w:val="009FDF"/>
                <w:sz w:val="20"/>
                <w:szCs w:val="20"/>
                <w:lang w:eastAsia="en-GB"/>
              </w:rPr>
            </w:pPr>
          </w:p>
        </w:tc>
      </w:tr>
      <w:tr w:rsidR="00AD22D8" w:rsidRPr="00AD22D8" w:rsidTr="00BA2D76">
        <w:tc>
          <w:tcPr>
            <w:tcW w:w="4849" w:type="dxa"/>
          </w:tcPr>
          <w:p w:rsidR="00AD22D8" w:rsidRPr="00AD22D8" w:rsidRDefault="00BA2D76" w:rsidP="00BA2D76">
            <w:pPr>
              <w:spacing w:before="120" w:after="120" w:line="240" w:lineRule="auto"/>
              <w:jc w:val="center"/>
              <w:rPr>
                <w:rFonts w:eastAsia="Calibri" w:cs="Calibri"/>
                <w:bCs/>
                <w:caps/>
                <w:color w:val="009FDF"/>
                <w:sz w:val="28"/>
                <w:lang w:eastAsia="en-GB"/>
              </w:rPr>
            </w:pPr>
            <w:r>
              <w:rPr>
                <w:rFonts w:eastAsia="Calibri" w:cs="Calibri"/>
                <w:bCs/>
                <w:caps/>
                <w:noProof/>
                <w:color w:val="009FDF"/>
                <w:sz w:val="28"/>
                <w:lang w:val="en-IE" w:eastAsia="en-IE"/>
              </w:rPr>
              <w:lastRenderedPageBreak/>
              <w:drawing>
                <wp:inline distT="0" distB="0" distL="0" distR="0" wp14:anchorId="428B4B71" wp14:editId="74DA0796">
                  <wp:extent cx="961901" cy="2822847"/>
                  <wp:effectExtent l="0" t="0" r="0" b="0"/>
                  <wp:docPr id="21" name="Billed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965711" cy="2834029"/>
                          </a:xfrm>
                          <a:prstGeom prst="rect">
                            <a:avLst/>
                          </a:prstGeom>
                          <a:noFill/>
                          <a:ln>
                            <a:noFill/>
                          </a:ln>
                        </pic:spPr>
                      </pic:pic>
                    </a:graphicData>
                  </a:graphic>
                </wp:inline>
              </w:drawing>
            </w:r>
          </w:p>
        </w:tc>
        <w:tc>
          <w:tcPr>
            <w:tcW w:w="4863" w:type="dxa"/>
          </w:tcPr>
          <w:p w:rsidR="00AD22D8" w:rsidRPr="00AD22D8" w:rsidRDefault="00AD22D8" w:rsidP="00AD22D8">
            <w:pPr>
              <w:spacing w:line="240" w:lineRule="auto"/>
              <w:jc w:val="center"/>
              <w:rPr>
                <w:rFonts w:ascii="Times New Roman" w:eastAsia="Times New Roman" w:hAnsi="Times New Roman" w:cs="Times New Roman"/>
                <w:sz w:val="24"/>
                <w:szCs w:val="24"/>
                <w:lang w:eastAsia="en-GB"/>
              </w:rPr>
            </w:pPr>
            <w:r w:rsidRPr="00AD22D8">
              <w:rPr>
                <w:rFonts w:ascii="Calibri" w:eastAsia="+mn-ea" w:hAnsi="Calibri" w:cs="+mn-cs"/>
                <w:b/>
                <w:bCs/>
                <w:i/>
                <w:iCs/>
                <w:color w:val="000000"/>
                <w:kern w:val="24"/>
                <w:sz w:val="24"/>
                <w:szCs w:val="24"/>
                <w:lang w:val="da-DK" w:eastAsia="en-GB"/>
              </w:rPr>
              <w:t>Emergency Wreck Mark</w:t>
            </w:r>
          </w:p>
          <w:p w:rsidR="00AD22D8" w:rsidRDefault="00AD22D8" w:rsidP="00AD22D8">
            <w:pPr>
              <w:spacing w:line="240" w:lineRule="auto"/>
              <w:rPr>
                <w:rFonts w:ascii="Calibri" w:eastAsia="+mn-ea" w:hAnsi="Calibri" w:cs="+mn-cs"/>
                <w:color w:val="000000"/>
                <w:kern w:val="24"/>
                <w:sz w:val="24"/>
                <w:szCs w:val="24"/>
                <w:lang w:val="da-DK" w:eastAsia="en-GB"/>
              </w:rPr>
            </w:pPr>
            <w:r w:rsidRPr="00AD22D8">
              <w:rPr>
                <w:rFonts w:ascii="Calibri" w:eastAsia="+mn-ea" w:hAnsi="Calibri" w:cs="+mn-cs"/>
                <w:color w:val="000000"/>
                <w:kern w:val="24"/>
                <w:sz w:val="24"/>
                <w:szCs w:val="24"/>
                <w:lang w:val="da-DK" w:eastAsia="en-GB"/>
              </w:rPr>
              <w:t>Vertical yellow band on yellow portion and vertical blue band on blue portion of the mark.</w:t>
            </w:r>
          </w:p>
          <w:p w:rsidR="00DC0588" w:rsidRPr="00AD22D8" w:rsidRDefault="00DC0588" w:rsidP="00AD22D8">
            <w:pPr>
              <w:spacing w:line="240" w:lineRule="auto"/>
              <w:rPr>
                <w:rFonts w:ascii="Times New Roman" w:eastAsia="Times New Roman" w:hAnsi="Times New Roman" w:cs="Times New Roman"/>
                <w:sz w:val="24"/>
                <w:szCs w:val="24"/>
                <w:lang w:eastAsia="en-GB"/>
              </w:rPr>
            </w:pPr>
          </w:p>
          <w:p w:rsidR="00AD22D8" w:rsidRPr="00AD22D8" w:rsidRDefault="00AD22D8" w:rsidP="00AD22D8">
            <w:pPr>
              <w:spacing w:before="120" w:after="120" w:line="240" w:lineRule="auto"/>
              <w:rPr>
                <w:rFonts w:eastAsia="Calibri" w:cs="Calibri"/>
                <w:bCs/>
                <w:caps/>
                <w:color w:val="009FDF"/>
                <w:sz w:val="20"/>
                <w:szCs w:val="20"/>
                <w:lang w:eastAsia="en-GB"/>
              </w:rPr>
            </w:pPr>
          </w:p>
        </w:tc>
      </w:tr>
    </w:tbl>
    <w:p w:rsidR="00AD22D8" w:rsidRDefault="00AD22D8" w:rsidP="00E07C54">
      <w:pPr>
        <w:pStyle w:val="BodyText"/>
        <w:jc w:val="center"/>
      </w:pPr>
    </w:p>
    <w:p w:rsidR="00885E37" w:rsidRDefault="00885E37" w:rsidP="00C81A54">
      <w:pPr>
        <w:pStyle w:val="Figurecaption"/>
        <w:numPr>
          <w:ilvl w:val="0"/>
          <w:numId w:val="0"/>
        </w:numPr>
        <w:ind w:left="992"/>
      </w:pPr>
    </w:p>
    <w:p w:rsidR="009131D6" w:rsidRDefault="009131D6" w:rsidP="009131D6"/>
    <w:p w:rsidR="009131D6" w:rsidRDefault="009131D6" w:rsidP="009131D6"/>
    <w:p w:rsidR="009131D6" w:rsidRDefault="009131D6" w:rsidP="009131D6"/>
    <w:p w:rsidR="009131D6" w:rsidRDefault="009131D6" w:rsidP="009131D6"/>
    <w:p w:rsidR="009131D6" w:rsidRDefault="009131D6" w:rsidP="009131D6"/>
    <w:p w:rsidR="009131D6" w:rsidRDefault="009131D6" w:rsidP="009131D6"/>
    <w:p w:rsidR="009131D6" w:rsidRDefault="009131D6" w:rsidP="009131D6"/>
    <w:p w:rsidR="009131D6" w:rsidRDefault="009131D6" w:rsidP="009131D6"/>
    <w:p w:rsidR="009131D6" w:rsidRDefault="009131D6" w:rsidP="009131D6"/>
    <w:p w:rsidR="009131D6" w:rsidRDefault="009131D6" w:rsidP="009131D6"/>
    <w:p w:rsidR="009131D6" w:rsidRDefault="009131D6" w:rsidP="009131D6"/>
    <w:p w:rsidR="009131D6" w:rsidRDefault="009131D6" w:rsidP="009131D6"/>
    <w:p w:rsidR="009131D6" w:rsidRDefault="009131D6" w:rsidP="009131D6"/>
    <w:p w:rsidR="009131D6" w:rsidRDefault="009131D6" w:rsidP="009131D6"/>
    <w:p w:rsidR="00A908A3" w:rsidRDefault="00A908A3" w:rsidP="009131D6"/>
    <w:p w:rsidR="00A908A3" w:rsidRDefault="00A908A3" w:rsidP="009131D6"/>
    <w:p w:rsidR="001401B8" w:rsidRDefault="001401B8" w:rsidP="009131D6"/>
    <w:p w:rsidR="001401B8" w:rsidRDefault="001401B8" w:rsidP="009131D6"/>
    <w:p w:rsidR="001401B8" w:rsidRDefault="001401B8" w:rsidP="009131D6"/>
    <w:p w:rsidR="001401B8" w:rsidRDefault="001401B8" w:rsidP="009131D6"/>
    <w:p w:rsidR="001401B8" w:rsidRDefault="001401B8" w:rsidP="009131D6"/>
    <w:p w:rsidR="001401B8" w:rsidRDefault="001401B8" w:rsidP="009131D6"/>
    <w:p w:rsidR="00885E37" w:rsidRPr="00885E37" w:rsidRDefault="00885E37" w:rsidP="00BB603C">
      <w:pPr>
        <w:pStyle w:val="Acronym"/>
      </w:pPr>
    </w:p>
    <w:sectPr w:rsidR="00885E37" w:rsidRPr="00885E37" w:rsidSect="0083218D">
      <w:headerReference w:type="even" r:id="rId34"/>
      <w:headerReference w:type="default" r:id="rId35"/>
      <w:headerReference w:type="first" r:id="rId36"/>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7832" w:rsidRDefault="00117832" w:rsidP="003274DB">
      <w:r>
        <w:separator/>
      </w:r>
    </w:p>
    <w:p w:rsidR="00117832" w:rsidRDefault="00117832"/>
  </w:endnote>
  <w:endnote w:type="continuationSeparator" w:id="0">
    <w:p w:rsidR="00117832" w:rsidRDefault="00117832" w:rsidP="003274DB">
      <w:r>
        <w:continuationSeparator/>
      </w:r>
    </w:p>
    <w:p w:rsidR="00117832" w:rsidRDefault="001178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985" w:rsidRDefault="0021298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993" w:rsidRDefault="002E4993" w:rsidP="008747E0">
    <w:pPr>
      <w:pStyle w:val="Footer"/>
    </w:pPr>
    <w:r>
      <w:rPr>
        <w:noProof/>
        <w:lang w:val="en-IE" w:eastAsia="en-IE"/>
      </w:rPr>
      <mc:AlternateContent>
        <mc:Choice Requires="wps">
          <w:drawing>
            <wp:anchor distT="0" distB="0" distL="114300" distR="114300" simplePos="0" relativeHeight="251648000" behindDoc="0" locked="0" layoutInCell="1" allowOverlap="1" wp14:anchorId="6D8E46A1" wp14:editId="06387F4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6D10897" id="Connecteur droit 11" o:spid="_x0000_s1026" style="position:absolute;z-index:2516480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rsidR="002E4993" w:rsidRPr="00ED2A8D" w:rsidRDefault="002E4993" w:rsidP="008747E0">
    <w:pPr>
      <w:pStyle w:val="Footer"/>
    </w:pPr>
    <w:r w:rsidRPr="00442889">
      <w:rPr>
        <w:noProof/>
        <w:lang w:val="en-IE" w:eastAsia="en-IE"/>
      </w:rPr>
      <w:drawing>
        <wp:anchor distT="0" distB="0" distL="114300" distR="114300" simplePos="0" relativeHeight="251646976" behindDoc="1" locked="0" layoutInCell="1" allowOverlap="1" wp14:anchorId="4076C8B0" wp14:editId="27FDED3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rsidR="002E4993" w:rsidRPr="00ED2A8D" w:rsidRDefault="002E4993" w:rsidP="008747E0">
    <w:pPr>
      <w:pStyle w:val="Footer"/>
    </w:pPr>
  </w:p>
  <w:p w:rsidR="002E4993" w:rsidRPr="00ED2A8D" w:rsidRDefault="002E4993" w:rsidP="008747E0">
    <w:pPr>
      <w:pStyle w:val="Footer"/>
    </w:pPr>
  </w:p>
  <w:p w:rsidR="002E4993" w:rsidRPr="00ED2A8D" w:rsidRDefault="002E4993"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985" w:rsidRDefault="0021298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2CF" w:rsidRPr="007A72CF" w:rsidRDefault="007A72CF" w:rsidP="007A72CF">
    <w:pPr>
      <w:pStyle w:val="Footer"/>
      <w:rPr>
        <w:sz w:val="15"/>
        <w:szCs w:val="15"/>
      </w:rPr>
    </w:pPr>
  </w:p>
  <w:p w:rsidR="007A72CF" w:rsidRDefault="007A72CF" w:rsidP="007A72CF">
    <w:pPr>
      <w:pStyle w:val="Footerportrait"/>
    </w:pPr>
  </w:p>
  <w:p w:rsidR="007A72CF" w:rsidRPr="007A72CF" w:rsidRDefault="00117832" w:rsidP="007A72CF">
    <w:pPr>
      <w:pStyle w:val="Footerportrait"/>
      <w:rPr>
        <w:rStyle w:val="PageNumber"/>
      </w:rPr>
    </w:pPr>
    <w:r>
      <w:fldChar w:fldCharType="begin"/>
    </w:r>
    <w:r>
      <w:instrText xml:space="preserve"> STYLEREF "Document type" \* MERGEFORMAT </w:instrText>
    </w:r>
    <w:r>
      <w:fldChar w:fldCharType="separate"/>
    </w:r>
    <w:r w:rsidR="00F01F48">
      <w:t>IALA RECOMMENDATION</w:t>
    </w:r>
    <w:r>
      <w:fldChar w:fldCharType="end"/>
    </w:r>
    <w:r w:rsidR="007A72CF">
      <w:t xml:space="preserve"> </w:t>
    </w:r>
    <w:r>
      <w:fldChar w:fldCharType="begin"/>
    </w:r>
    <w:r>
      <w:instrText xml:space="preserve"> STYLEREF "Document number" \* MERGEFORMAT </w:instrText>
    </w:r>
    <w:r>
      <w:fldChar w:fldCharType="separate"/>
    </w:r>
    <w:r w:rsidR="00F01F48">
      <w:t>E-106</w:t>
    </w:r>
    <w:r>
      <w:fldChar w:fldCharType="end"/>
    </w:r>
    <w:r w:rsidR="00564664">
      <w:t xml:space="preserve"> </w:t>
    </w:r>
    <w:r>
      <w:fldChar w:fldCharType="begin"/>
    </w:r>
    <w:r>
      <w:instrText xml:space="preserve"> STYLEREF "Document name" \* MERGEFORMAT </w:instrText>
    </w:r>
    <w:r>
      <w:fldChar w:fldCharType="separate"/>
    </w:r>
    <w:r w:rsidR="00F01F48">
      <w:t>retroreflecting material on Aids to navigation Marks within the iala maritime buoyage system</w:t>
    </w:r>
    <w:r>
      <w:fldChar w:fldCharType="end"/>
    </w:r>
    <w:r w:rsidR="007A72CF">
      <w:tab/>
    </w:r>
  </w:p>
  <w:p w:rsidR="008608A4" w:rsidRDefault="00117832" w:rsidP="007A72CF">
    <w:pPr>
      <w:pStyle w:val="Footerportrait"/>
    </w:pPr>
    <w:r>
      <w:fldChar w:fldCharType="begin"/>
    </w:r>
    <w:r>
      <w:instrText xml:space="preserve"> STYLEREF "Edition number" \* MERGEFORMAT </w:instrText>
    </w:r>
    <w:r>
      <w:fldChar w:fldCharType="separate"/>
    </w:r>
    <w:r w:rsidR="00F01F48">
      <w:t>Edition 1.0</w:t>
    </w:r>
    <w:r>
      <w:fldChar w:fldCharType="end"/>
    </w:r>
    <w:r w:rsidR="007A72CF">
      <w:t xml:space="preserve"> </w:t>
    </w:r>
    <w:r>
      <w:fldChar w:fldCharType="begin"/>
    </w:r>
    <w:r>
      <w:instrText xml:space="preserve"> STYLEREF "Document date" \* MERGEFORMAT </w:instrText>
    </w:r>
    <w:r>
      <w:fldChar w:fldCharType="separate"/>
    </w:r>
    <w:r w:rsidR="00F01F48">
      <w:t>Document date</w:t>
    </w:r>
    <w:r>
      <w:fldChar w:fldCharType="end"/>
    </w:r>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F01F48">
      <w:t>2</w:t>
    </w:r>
    <w:r w:rsidR="007A72CF"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7832" w:rsidRDefault="00117832" w:rsidP="003274DB">
      <w:r>
        <w:separator/>
      </w:r>
    </w:p>
    <w:p w:rsidR="00117832" w:rsidRDefault="00117832"/>
  </w:footnote>
  <w:footnote w:type="continuationSeparator" w:id="0">
    <w:p w:rsidR="00117832" w:rsidRDefault="00117832" w:rsidP="003274DB">
      <w:r>
        <w:continuationSeparator/>
      </w:r>
    </w:p>
    <w:p w:rsidR="00117832" w:rsidRDefault="0011783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2A91" w:rsidRDefault="00F01F4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224032" o:spid="_x0000_s2068" type="#_x0000_t136" style="position:absolute;margin-left:0;margin-top:0;width:571.4pt;height:87.9pt;rotation:315;z-index:-251642880;mso-position-horizontal:center;mso-position-horizontal-relative:margin;mso-position-vertical:center;mso-position-vertical-relative:margin" o:allowincell="f" fillcolor="silver" stroked="f">
          <v:fill opacity=".5"/>
          <v:textpath style="font-family:&quot;Calibri&quot;;font-size:1pt" string="IALA working paper"/>
        </v:shape>
      </w:pict>
    </w:r>
    <w:r w:rsidR="00117832">
      <w:rPr>
        <w:noProof/>
      </w:rPr>
      <w:pict w14:anchorId="15965753">
        <v:shape id="_x0000_s2059" type="#_x0000_t136" style="position:absolute;margin-left:0;margin-top:0;width:604.45pt;height:54.95pt;rotation:315;z-index:-2516541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117832">
      <w:rPr>
        <w:noProof/>
      </w:rPr>
      <w:pict w14:anchorId="277BF4C0">
        <v:shape id="PowerPlusWaterMarkObject1" o:spid="_x0000_s2049" type="#_x0000_t136" style="position:absolute;margin-left:0;margin-top:0;width:604.45pt;height:54.95pt;rotation:315;z-index:-2516643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705E" w:rsidRDefault="00F01F48" w:rsidP="002163AE">
    <w:pPr>
      <w:pStyle w:val="Header"/>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224033" o:spid="_x0000_s2069" type="#_x0000_t136" style="position:absolute;left:0;text-align:left;margin-left:0;margin-top:0;width:571.4pt;height:87.9pt;rotation:315;z-index:-251640832;mso-position-horizontal:center;mso-position-horizontal-relative:margin;mso-position-vertical:center;mso-position-vertical-relative:margin" o:allowincell="f" fillcolor="silver" stroked="f">
          <v:fill opacity=".5"/>
          <v:textpath style="font-family:&quot;Calibri&quot;;font-size:1pt" string="IALA working paper"/>
        </v:shape>
      </w:pict>
    </w:r>
    <w:r w:rsidR="0096705E">
      <w:t>ENG6-</w:t>
    </w:r>
    <w:r w:rsidR="00212985">
      <w:t>11.1.22</w:t>
    </w:r>
    <w:r w:rsidR="0096705E">
      <w:t xml:space="preserve"> </w:t>
    </w:r>
  </w:p>
  <w:p w:rsidR="002E4993" w:rsidRPr="00ED2A8D" w:rsidRDefault="0096705E" w:rsidP="002163AE">
    <w:pPr>
      <w:pStyle w:val="Header"/>
      <w:jc w:val="right"/>
    </w:pPr>
    <w:r>
      <w:t xml:space="preserve">Formerly </w:t>
    </w:r>
    <w:r w:rsidR="00117832">
      <w:rPr>
        <w:noProof/>
      </w:rPr>
      <w:pict w14:anchorId="05F4CC38">
        <v:shape id="_x0000_s2058" type="#_x0000_t136" style="position:absolute;left:0;text-align:left;margin-left:0;margin-top:0;width:604.45pt;height:54.95pt;rotation:315;z-index:-25165516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2E4993" w:rsidRPr="00442889">
      <w:rPr>
        <w:noProof/>
        <w:lang w:val="en-IE" w:eastAsia="en-IE"/>
      </w:rPr>
      <w:drawing>
        <wp:anchor distT="0" distB="0" distL="114300" distR="114300" simplePos="0" relativeHeight="251651072" behindDoc="1" locked="0" layoutInCell="1" allowOverlap="1" wp14:anchorId="6FBB8153" wp14:editId="075D41E6">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212985">
      <w:t>ENG6-9.11.1</w:t>
    </w:r>
  </w:p>
  <w:p w:rsidR="002E4993" w:rsidRDefault="002E4993" w:rsidP="008747E0">
    <w:pPr>
      <w:pStyle w:val="Header"/>
    </w:pPr>
  </w:p>
  <w:p w:rsidR="002E4993" w:rsidRDefault="002E4993" w:rsidP="008747E0">
    <w:pPr>
      <w:pStyle w:val="Header"/>
    </w:pPr>
  </w:p>
  <w:p w:rsidR="002E4993" w:rsidRDefault="002E4993" w:rsidP="008747E0">
    <w:pPr>
      <w:pStyle w:val="Header"/>
    </w:pPr>
  </w:p>
  <w:p w:rsidR="002E4993" w:rsidRDefault="002E4993" w:rsidP="008747E0">
    <w:pPr>
      <w:pStyle w:val="Header"/>
    </w:pPr>
  </w:p>
  <w:p w:rsidR="002E4993" w:rsidRDefault="002E4993" w:rsidP="008747E0">
    <w:pPr>
      <w:pStyle w:val="Header"/>
    </w:pPr>
    <w:r>
      <w:rPr>
        <w:noProof/>
        <w:lang w:val="en-IE" w:eastAsia="en-IE"/>
      </w:rPr>
      <w:drawing>
        <wp:anchor distT="0" distB="0" distL="114300" distR="114300" simplePos="0" relativeHeight="251650048" behindDoc="1" locked="0" layoutInCell="1" allowOverlap="1" wp14:anchorId="1FB5B899" wp14:editId="19778739">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rsidR="002E4993" w:rsidRPr="00ED2A8D" w:rsidRDefault="002E4993" w:rsidP="008747E0">
    <w:pPr>
      <w:pStyle w:val="Header"/>
    </w:pPr>
  </w:p>
  <w:p w:rsidR="002E4993" w:rsidRPr="00ED2A8D" w:rsidRDefault="002E4993"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2A91" w:rsidRDefault="00F01F4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224031" o:spid="_x0000_s2067" type="#_x0000_t136" style="position:absolute;margin-left:0;margin-top:0;width:571.4pt;height:87.9pt;rotation:315;z-index:-251644928;mso-position-horizontal:center;mso-position-horizontal-relative:margin;mso-position-vertical:center;mso-position-vertical-relative:margin" o:allowincell="f" fillcolor="silver" stroked="f">
          <v:fill opacity=".5"/>
          <v:textpath style="font-family:&quot;Calibri&quot;;font-size:1pt" string="IALA working paper"/>
        </v:shape>
      </w:pict>
    </w:r>
    <w:r w:rsidR="00117832">
      <w:rPr>
        <w:noProof/>
      </w:rPr>
      <w:pict w14:anchorId="5F255176">
        <v:shape id="_x0000_s2060" type="#_x0000_t136" style="position:absolute;margin-left:0;margin-top:0;width:604.45pt;height:54.95pt;rotation:315;z-index:-2516531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117832">
      <w:rPr>
        <w:noProof/>
      </w:rPr>
      <w:pict w14:anchorId="2BA062AE">
        <v:shape id="PowerPlusWaterMarkObject3" o:spid="_x0000_s2051" type="#_x0000_t136" style="position:absolute;margin-left:0;margin-top:0;width:604.45pt;height:54.95pt;rotation:315;z-index:-2516623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2A91" w:rsidRDefault="00F01F4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224035" o:spid="_x0000_s2071" type="#_x0000_t136" style="position:absolute;margin-left:0;margin-top:0;width:571.4pt;height:87.9pt;rotation:315;z-index:-251636736;mso-position-horizontal:center;mso-position-horizontal-relative:margin;mso-position-vertical:center;mso-position-vertical-relative:margin" o:allowincell="f" fillcolor="silver" stroked="f">
          <v:fill opacity=".5"/>
          <v:textpath style="font-family:&quot;Calibri&quot;;font-size:1pt" string="IALA working paper"/>
        </v:shape>
      </w:pict>
    </w:r>
    <w:r w:rsidR="00117832">
      <w:rPr>
        <w:noProof/>
      </w:rPr>
      <w:pict w14:anchorId="34F0CB22">
        <v:shape id="_x0000_s2062" type="#_x0000_t136" style="position:absolute;margin-left:0;margin-top:0;width:604.45pt;height:54.95pt;rotation:315;z-index:-25165107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993" w:rsidRPr="00ED2A8D" w:rsidRDefault="00F01F48" w:rsidP="008747E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224036" o:spid="_x0000_s2072" type="#_x0000_t136" style="position:absolute;margin-left:0;margin-top:0;width:571.4pt;height:87.9pt;rotation:315;z-index:-251634688;mso-position-horizontal:center;mso-position-horizontal-relative:margin;mso-position-vertical:center;mso-position-vertical-relative:margin" o:allowincell="f" fillcolor="silver" stroked="f">
          <v:fill opacity=".5"/>
          <v:textpath style="font-family:&quot;Calibri&quot;;font-size:1pt" string="IALA working paper"/>
        </v:shape>
      </w:pict>
    </w:r>
    <w:r w:rsidR="00117832">
      <w:rPr>
        <w:noProof/>
      </w:rPr>
      <w:pict w14:anchorId="593A78DF">
        <v:shape id="_x0000_s2061" type="#_x0000_t136" style="position:absolute;margin-left:0;margin-top:0;width:604.45pt;height:54.95pt;rotation:315;z-index:-2516520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2E4993">
      <w:rPr>
        <w:noProof/>
        <w:lang w:val="en-IE" w:eastAsia="en-IE"/>
      </w:rPr>
      <w:drawing>
        <wp:anchor distT="0" distB="0" distL="114300" distR="114300" simplePos="0" relativeHeight="251645952" behindDoc="1" locked="0" layoutInCell="1" allowOverlap="1" wp14:anchorId="53832D2D" wp14:editId="6A690664">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2E4993" w:rsidRPr="00ED2A8D" w:rsidRDefault="002E4993" w:rsidP="008747E0">
    <w:pPr>
      <w:pStyle w:val="Header"/>
    </w:pPr>
  </w:p>
  <w:p w:rsidR="002E4993" w:rsidRDefault="002E4993" w:rsidP="008747E0">
    <w:pPr>
      <w:pStyle w:val="Header"/>
    </w:pPr>
  </w:p>
  <w:p w:rsidR="002E4993" w:rsidRDefault="002E4993" w:rsidP="008747E0">
    <w:pPr>
      <w:pStyle w:val="Header"/>
    </w:pPr>
  </w:p>
  <w:p w:rsidR="002E4993" w:rsidRDefault="002E4993" w:rsidP="008747E0">
    <w:pPr>
      <w:pStyle w:val="Header"/>
    </w:pPr>
  </w:p>
  <w:p w:rsidR="002E4993" w:rsidRPr="00441393" w:rsidRDefault="002E4993" w:rsidP="00441393">
    <w:pPr>
      <w:pStyle w:val="Contents"/>
    </w:pPr>
    <w:r>
      <w:t>DOCUMENT REVISION</w:t>
    </w:r>
  </w:p>
  <w:p w:rsidR="002E4993" w:rsidRPr="00ED2A8D" w:rsidRDefault="002E4993" w:rsidP="008747E0">
    <w:pPr>
      <w:pStyle w:val="Header"/>
    </w:pPr>
  </w:p>
  <w:p w:rsidR="002E4993" w:rsidRPr="00AC33A2" w:rsidRDefault="002E4993"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2A91" w:rsidRDefault="00F01F4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224034" o:spid="_x0000_s2070" type="#_x0000_t136" style="position:absolute;margin-left:0;margin-top:0;width:571.4pt;height:87.9pt;rotation:315;z-index:-251638784;mso-position-horizontal:center;mso-position-horizontal-relative:margin;mso-position-vertical:center;mso-position-vertical-relative:margin" o:allowincell="f" fillcolor="silver" stroked="f">
          <v:fill opacity=".5"/>
          <v:textpath style="font-family:&quot;Calibri&quot;;font-size:1pt" string="IALA working paper"/>
        </v:shape>
      </w:pict>
    </w:r>
    <w:r w:rsidR="00117832">
      <w:rPr>
        <w:noProof/>
      </w:rPr>
      <w:pict w14:anchorId="0D15C91F">
        <v:shape id="_x0000_s2063" type="#_x0000_t136" style="position:absolute;margin-left:0;margin-top:0;width:604.45pt;height:54.95pt;rotation:315;z-index:-2516500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117832">
      <w:rPr>
        <w:noProof/>
      </w:rPr>
      <w:pict w14:anchorId="6AEEF4D8">
        <v:shape id="PowerPlusWaterMarkObject6" o:spid="_x0000_s2054" type="#_x0000_t136" style="position:absolute;margin-left:0;margin-top:0;width:604.45pt;height:54.95pt;rotation:315;z-index:-25165926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2A91" w:rsidRDefault="00F01F4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224038" o:spid="_x0000_s2074" type="#_x0000_t136" style="position:absolute;margin-left:0;margin-top:0;width:571.4pt;height:87.9pt;rotation:315;z-index:-251630592;mso-position-horizontal:center;mso-position-horizontal-relative:margin;mso-position-vertical:center;mso-position-vertical-relative:margin" o:allowincell="f" fillcolor="silver" stroked="f">
          <v:fill opacity=".5"/>
          <v:textpath style="font-family:&quot;Calibri&quot;;font-size:1pt" string="IALA working paper"/>
        </v:shape>
      </w:pict>
    </w:r>
    <w:r w:rsidR="00117832">
      <w:rPr>
        <w:noProof/>
      </w:rPr>
      <w:pict w14:anchorId="0318E034">
        <v:shape id="_x0000_s2065" type="#_x0000_t136" style="position:absolute;margin-left:0;margin-top:0;width:604.45pt;height:54.95pt;rotation:315;z-index:-2516480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993" w:rsidRPr="00667792" w:rsidRDefault="00F01F48" w:rsidP="0066779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224039" o:spid="_x0000_s2075" type="#_x0000_t136" style="position:absolute;margin-left:0;margin-top:0;width:571.4pt;height:87.9pt;rotation:315;z-index:-251628544;mso-position-horizontal:center;mso-position-horizontal-relative:margin;mso-position-vertical:center;mso-position-vertical-relative:margin" o:allowincell="f" fillcolor="silver" stroked="f">
          <v:fill opacity=".5"/>
          <v:textpath style="font-family:&quot;Calibri&quot;;font-size:1pt" string="IALA working paper"/>
        </v:shape>
      </w:pict>
    </w:r>
    <w:r w:rsidR="00117832">
      <w:rPr>
        <w:noProof/>
      </w:rPr>
      <w:pict w14:anchorId="30A0063D">
        <v:shape id="_x0000_s2064" type="#_x0000_t136" style="position:absolute;margin-left:0;margin-top:0;width:604.45pt;height:54.95pt;rotation:315;z-index:-2516490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2E4993">
      <w:rPr>
        <w:noProof/>
        <w:lang w:val="en-IE" w:eastAsia="en-IE"/>
      </w:rPr>
      <w:drawing>
        <wp:anchor distT="0" distB="0" distL="114300" distR="114300" simplePos="0" relativeHeight="251649024" behindDoc="1" locked="0" layoutInCell="1" allowOverlap="1" wp14:anchorId="58DCEB40" wp14:editId="6776F9EA">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2A91" w:rsidRDefault="00F01F4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224037" o:spid="_x0000_s2073" type="#_x0000_t136" style="position:absolute;margin-left:0;margin-top:0;width:571.4pt;height:87.9pt;rotation:315;z-index:-251632640;mso-position-horizontal:center;mso-position-horizontal-relative:margin;mso-position-vertical:center;mso-position-vertical-relative:margin" o:allowincell="f" fillcolor="silver" stroked="f">
          <v:fill opacity=".5"/>
          <v:textpath style="font-family:&quot;Calibri&quot;;font-size:1pt" string="IALA working paper"/>
        </v:shape>
      </w:pict>
    </w:r>
    <w:r w:rsidR="00117832">
      <w:rPr>
        <w:noProof/>
      </w:rPr>
      <w:pict w14:anchorId="1E141518">
        <v:shape id="_x0000_s2066" type="#_x0000_t136" style="position:absolute;margin-left:0;margin-top:0;width:604.45pt;height:54.95pt;rotation:315;z-index:-2516469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98286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D9E1C90"/>
    <w:lvl w:ilvl="0">
      <w:start w:val="1"/>
      <w:numFmt w:val="decimal"/>
      <w:lvlText w:val="%1."/>
      <w:lvlJc w:val="left"/>
      <w:pPr>
        <w:tabs>
          <w:tab w:val="num" w:pos="1800"/>
        </w:tabs>
        <w:ind w:left="1800" w:hanging="360"/>
      </w:pPr>
    </w:lvl>
  </w:abstractNum>
  <w:abstractNum w:abstractNumId="2">
    <w:nsid w:val="FFFFFF7D"/>
    <w:multiLevelType w:val="singleLevel"/>
    <w:tmpl w:val="1CC6385C"/>
    <w:lvl w:ilvl="0">
      <w:start w:val="1"/>
      <w:numFmt w:val="decimal"/>
      <w:lvlText w:val="%1."/>
      <w:lvlJc w:val="left"/>
      <w:pPr>
        <w:tabs>
          <w:tab w:val="num" w:pos="1440"/>
        </w:tabs>
        <w:ind w:left="1440" w:hanging="360"/>
      </w:pPr>
    </w:lvl>
  </w:abstractNum>
  <w:abstractNum w:abstractNumId="3">
    <w:nsid w:val="FFFFFF7F"/>
    <w:multiLevelType w:val="singleLevel"/>
    <w:tmpl w:val="4BD4723A"/>
    <w:lvl w:ilvl="0">
      <w:start w:val="1"/>
      <w:numFmt w:val="decimal"/>
      <w:lvlText w:val="%1."/>
      <w:lvlJc w:val="left"/>
      <w:pPr>
        <w:tabs>
          <w:tab w:val="num" w:pos="720"/>
        </w:tabs>
        <w:ind w:left="720" w:hanging="360"/>
      </w:pPr>
    </w:lvl>
  </w:abstractNum>
  <w:abstractNum w:abstractNumId="4">
    <w:nsid w:val="FFFFFF80"/>
    <w:multiLevelType w:val="singleLevel"/>
    <w:tmpl w:val="6C8466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3EC9CF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DA65EA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802CAE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9889F5E"/>
    <w:lvl w:ilvl="0">
      <w:start w:val="1"/>
      <w:numFmt w:val="decimal"/>
      <w:lvlText w:val="%1."/>
      <w:lvlJc w:val="left"/>
      <w:pPr>
        <w:tabs>
          <w:tab w:val="num" w:pos="360"/>
        </w:tabs>
        <w:ind w:left="360" w:hanging="360"/>
      </w:pPr>
    </w:lvl>
  </w:abstractNum>
  <w:abstractNum w:abstractNumId="9">
    <w:nsid w:val="FFFFFF89"/>
    <w:multiLevelType w:val="singleLevel"/>
    <w:tmpl w:val="848207B0"/>
    <w:lvl w:ilvl="0">
      <w:start w:val="1"/>
      <w:numFmt w:val="bullet"/>
      <w:lvlText w:val=""/>
      <w:lvlJc w:val="left"/>
      <w:pPr>
        <w:tabs>
          <w:tab w:val="num" w:pos="360"/>
        </w:tabs>
        <w:ind w:left="360" w:hanging="360"/>
      </w:pPr>
      <w:rPr>
        <w:rFonts w:ascii="Symbol" w:hAnsi="Symbol" w:hint="default"/>
      </w:rPr>
    </w:lvl>
  </w:abstractNum>
  <w:abstractNum w:abstractNumId="1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6102258"/>
    <w:multiLevelType w:val="multilevel"/>
    <w:tmpl w:val="8FB4906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EB00BE6"/>
    <w:multiLevelType w:val="multilevel"/>
    <w:tmpl w:val="C50CCE90"/>
    <w:lvl w:ilvl="0">
      <w:start w:val="1"/>
      <w:numFmt w:val="decimal"/>
      <w:pStyle w:val="List1-recommendation"/>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31EE46D4"/>
    <w:multiLevelType w:val="hybridMultilevel"/>
    <w:tmpl w:val="C004094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E6B4F5D"/>
    <w:multiLevelType w:val="multilevel"/>
    <w:tmpl w:val="C88C4282"/>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nsid w:val="5F157AD2"/>
    <w:multiLevelType w:val="hybridMultilevel"/>
    <w:tmpl w:val="48869DAA"/>
    <w:lvl w:ilvl="0" w:tplc="323222EE">
      <w:start w:val="1"/>
      <w:numFmt w:val="bullet"/>
      <w:lvlText w:val=""/>
      <w:lvlJc w:val="left"/>
      <w:pPr>
        <w:ind w:left="992" w:hanging="425"/>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nsid w:val="6C2F19AE"/>
    <w:multiLevelType w:val="hybridMultilevel"/>
    <w:tmpl w:val="4D54222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2">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23"/>
  </w:num>
  <w:num w:numId="3">
    <w:abstractNumId w:val="20"/>
  </w:num>
  <w:num w:numId="4">
    <w:abstractNumId w:val="13"/>
  </w:num>
  <w:num w:numId="5">
    <w:abstractNumId w:val="19"/>
  </w:num>
  <w:num w:numId="6">
    <w:abstractNumId w:val="11"/>
  </w:num>
  <w:num w:numId="7">
    <w:abstractNumId w:val="14"/>
  </w:num>
  <w:num w:numId="8">
    <w:abstractNumId w:val="25"/>
  </w:num>
  <w:num w:numId="9">
    <w:abstractNumId w:val="29"/>
  </w:num>
  <w:num w:numId="10">
    <w:abstractNumId w:val="27"/>
  </w:num>
  <w:num w:numId="11">
    <w:abstractNumId w:val="26"/>
  </w:num>
  <w:num w:numId="12">
    <w:abstractNumId w:val="24"/>
  </w:num>
  <w:num w:numId="13">
    <w:abstractNumId w:val="16"/>
  </w:num>
  <w:num w:numId="14">
    <w:abstractNumId w:val="28"/>
  </w:num>
  <w:num w:numId="15">
    <w:abstractNumId w:val="10"/>
  </w:num>
  <w:num w:numId="16">
    <w:abstractNumId w:val="21"/>
  </w:num>
  <w:num w:numId="17">
    <w:abstractNumId w:val="17"/>
  </w:num>
  <w:num w:numId="18">
    <w:abstractNumId w:val="18"/>
  </w:num>
  <w:num w:numId="19">
    <w:abstractNumId w:val="15"/>
  </w:num>
  <w:num w:numId="20">
    <w:abstractNumId w:val="33"/>
  </w:num>
  <w:num w:numId="21">
    <w:abstractNumId w:val="31"/>
  </w:num>
  <w:num w:numId="22">
    <w:abstractNumId w:val="32"/>
  </w:num>
  <w:num w:numId="23">
    <w:abstractNumId w:val="0"/>
  </w:num>
  <w:num w:numId="24">
    <w:abstractNumId w:val="1"/>
  </w:num>
  <w:num w:numId="25">
    <w:abstractNumId w:val="2"/>
  </w:num>
  <w:num w:numId="26">
    <w:abstractNumId w:val="4"/>
  </w:num>
  <w:num w:numId="27">
    <w:abstractNumId w:val="5"/>
  </w:num>
  <w:num w:numId="28">
    <w:abstractNumId w:val="6"/>
  </w:num>
  <w:num w:numId="29">
    <w:abstractNumId w:val="7"/>
  </w:num>
  <w:num w:numId="30">
    <w:abstractNumId w:val="3"/>
  </w:num>
  <w:num w:numId="31">
    <w:abstractNumId w:val="8"/>
  </w:num>
  <w:num w:numId="32">
    <w:abstractNumId w:val="9"/>
  </w:num>
  <w:num w:numId="33">
    <w:abstractNumId w:val="22"/>
  </w:num>
  <w:num w:numId="34">
    <w:abstractNumId w:val="30"/>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activeWritingStyle w:appName="MSWord" w:lang="da-DK" w:vendorID="22" w:dllVersion="513" w:checkStyle="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3AE"/>
    <w:rsid w:val="000174F9"/>
    <w:rsid w:val="000258F6"/>
    <w:rsid w:val="000379A7"/>
    <w:rsid w:val="00040EB8"/>
    <w:rsid w:val="00055311"/>
    <w:rsid w:val="00057B6D"/>
    <w:rsid w:val="00060C0C"/>
    <w:rsid w:val="00061A7B"/>
    <w:rsid w:val="000700CD"/>
    <w:rsid w:val="0007354A"/>
    <w:rsid w:val="00084FE9"/>
    <w:rsid w:val="000859C4"/>
    <w:rsid w:val="00086894"/>
    <w:rsid w:val="000904ED"/>
    <w:rsid w:val="00096642"/>
    <w:rsid w:val="000A27A8"/>
    <w:rsid w:val="000B26B9"/>
    <w:rsid w:val="000C711B"/>
    <w:rsid w:val="000D0321"/>
    <w:rsid w:val="000E3954"/>
    <w:rsid w:val="000E3E52"/>
    <w:rsid w:val="000F0F9F"/>
    <w:rsid w:val="000F3F43"/>
    <w:rsid w:val="00111E0A"/>
    <w:rsid w:val="00113D5B"/>
    <w:rsid w:val="00113F8F"/>
    <w:rsid w:val="0011782B"/>
    <w:rsid w:val="00117832"/>
    <w:rsid w:val="001349DB"/>
    <w:rsid w:val="00136E58"/>
    <w:rsid w:val="001401B8"/>
    <w:rsid w:val="00140600"/>
    <w:rsid w:val="0014176F"/>
    <w:rsid w:val="00146F30"/>
    <w:rsid w:val="00155E95"/>
    <w:rsid w:val="00161325"/>
    <w:rsid w:val="00163F01"/>
    <w:rsid w:val="00166C2E"/>
    <w:rsid w:val="001875B1"/>
    <w:rsid w:val="00194CA0"/>
    <w:rsid w:val="001B7940"/>
    <w:rsid w:val="001C16E6"/>
    <w:rsid w:val="001C7A39"/>
    <w:rsid w:val="001D4A3E"/>
    <w:rsid w:val="001E416D"/>
    <w:rsid w:val="001E73C6"/>
    <w:rsid w:val="00201337"/>
    <w:rsid w:val="002022EA"/>
    <w:rsid w:val="00205B17"/>
    <w:rsid w:val="00205D9B"/>
    <w:rsid w:val="00212985"/>
    <w:rsid w:val="00214828"/>
    <w:rsid w:val="002163AE"/>
    <w:rsid w:val="002204DA"/>
    <w:rsid w:val="0022371A"/>
    <w:rsid w:val="00233798"/>
    <w:rsid w:val="0024236C"/>
    <w:rsid w:val="002520AD"/>
    <w:rsid w:val="002547CB"/>
    <w:rsid w:val="00257DF8"/>
    <w:rsid w:val="00257E4A"/>
    <w:rsid w:val="002707E9"/>
    <w:rsid w:val="0027175D"/>
    <w:rsid w:val="002E4993"/>
    <w:rsid w:val="002E5BAC"/>
    <w:rsid w:val="002E7635"/>
    <w:rsid w:val="002F265A"/>
    <w:rsid w:val="002F40FA"/>
    <w:rsid w:val="002F4F2E"/>
    <w:rsid w:val="00305EFE"/>
    <w:rsid w:val="00312966"/>
    <w:rsid w:val="00313D85"/>
    <w:rsid w:val="00315452"/>
    <w:rsid w:val="00315CE3"/>
    <w:rsid w:val="00316598"/>
    <w:rsid w:val="003227AF"/>
    <w:rsid w:val="00323F5D"/>
    <w:rsid w:val="003251FE"/>
    <w:rsid w:val="003274DB"/>
    <w:rsid w:val="00327FBF"/>
    <w:rsid w:val="00336410"/>
    <w:rsid w:val="003569B3"/>
    <w:rsid w:val="0036382D"/>
    <w:rsid w:val="00372973"/>
    <w:rsid w:val="00380350"/>
    <w:rsid w:val="00380603"/>
    <w:rsid w:val="00380B4E"/>
    <w:rsid w:val="003816E4"/>
    <w:rsid w:val="003A7759"/>
    <w:rsid w:val="003B03EA"/>
    <w:rsid w:val="003B1F82"/>
    <w:rsid w:val="003B5C7C"/>
    <w:rsid w:val="003C7C34"/>
    <w:rsid w:val="003D0F37"/>
    <w:rsid w:val="003D49C0"/>
    <w:rsid w:val="003D5150"/>
    <w:rsid w:val="003F1C3A"/>
    <w:rsid w:val="00402296"/>
    <w:rsid w:val="00405755"/>
    <w:rsid w:val="00441393"/>
    <w:rsid w:val="0044753A"/>
    <w:rsid w:val="00447CF0"/>
    <w:rsid w:val="00456EE9"/>
    <w:rsid w:val="00456F10"/>
    <w:rsid w:val="00477580"/>
    <w:rsid w:val="00492A8D"/>
    <w:rsid w:val="004B518C"/>
    <w:rsid w:val="004D24EC"/>
    <w:rsid w:val="004E1D57"/>
    <w:rsid w:val="004E2F16"/>
    <w:rsid w:val="004E709D"/>
    <w:rsid w:val="00500234"/>
    <w:rsid w:val="00503044"/>
    <w:rsid w:val="00517122"/>
    <w:rsid w:val="00523040"/>
    <w:rsid w:val="00526234"/>
    <w:rsid w:val="005378B8"/>
    <w:rsid w:val="00550064"/>
    <w:rsid w:val="00557434"/>
    <w:rsid w:val="005629E8"/>
    <w:rsid w:val="00564664"/>
    <w:rsid w:val="0059159F"/>
    <w:rsid w:val="00595415"/>
    <w:rsid w:val="00597652"/>
    <w:rsid w:val="005A080B"/>
    <w:rsid w:val="005B12A5"/>
    <w:rsid w:val="005B2A91"/>
    <w:rsid w:val="005C161A"/>
    <w:rsid w:val="005C1BCB"/>
    <w:rsid w:val="005C2312"/>
    <w:rsid w:val="005C4735"/>
    <w:rsid w:val="005C5C63"/>
    <w:rsid w:val="005D304B"/>
    <w:rsid w:val="005E3989"/>
    <w:rsid w:val="005E4659"/>
    <w:rsid w:val="005F1386"/>
    <w:rsid w:val="005F17C2"/>
    <w:rsid w:val="005F5EE7"/>
    <w:rsid w:val="00606250"/>
    <w:rsid w:val="00607B0A"/>
    <w:rsid w:val="006127AC"/>
    <w:rsid w:val="00634A78"/>
    <w:rsid w:val="00642025"/>
    <w:rsid w:val="0064628C"/>
    <w:rsid w:val="0065107F"/>
    <w:rsid w:val="00657038"/>
    <w:rsid w:val="00666061"/>
    <w:rsid w:val="00667424"/>
    <w:rsid w:val="00667792"/>
    <w:rsid w:val="00667C9B"/>
    <w:rsid w:val="00671677"/>
    <w:rsid w:val="006750F2"/>
    <w:rsid w:val="00682F47"/>
    <w:rsid w:val="0068553C"/>
    <w:rsid w:val="00685F34"/>
    <w:rsid w:val="006975A8"/>
    <w:rsid w:val="00697AF7"/>
    <w:rsid w:val="006A48A6"/>
    <w:rsid w:val="006B2D4C"/>
    <w:rsid w:val="006C3053"/>
    <w:rsid w:val="006E0690"/>
    <w:rsid w:val="006E0E7D"/>
    <w:rsid w:val="006E2635"/>
    <w:rsid w:val="006F1C14"/>
    <w:rsid w:val="007077EC"/>
    <w:rsid w:val="0072737A"/>
    <w:rsid w:val="00731DEE"/>
    <w:rsid w:val="0073426C"/>
    <w:rsid w:val="0074389F"/>
    <w:rsid w:val="00747FEB"/>
    <w:rsid w:val="00755B03"/>
    <w:rsid w:val="007715E8"/>
    <w:rsid w:val="00771E02"/>
    <w:rsid w:val="0077360F"/>
    <w:rsid w:val="00776004"/>
    <w:rsid w:val="0078486B"/>
    <w:rsid w:val="00785A39"/>
    <w:rsid w:val="00787D8A"/>
    <w:rsid w:val="00790277"/>
    <w:rsid w:val="00791EBC"/>
    <w:rsid w:val="00793577"/>
    <w:rsid w:val="007977FF"/>
    <w:rsid w:val="007A446A"/>
    <w:rsid w:val="007A72CF"/>
    <w:rsid w:val="007B03F1"/>
    <w:rsid w:val="007B6A93"/>
    <w:rsid w:val="007D0332"/>
    <w:rsid w:val="007D2107"/>
    <w:rsid w:val="007D5895"/>
    <w:rsid w:val="007D77AB"/>
    <w:rsid w:val="007E30DF"/>
    <w:rsid w:val="007F5191"/>
    <w:rsid w:val="007F7544"/>
    <w:rsid w:val="00800995"/>
    <w:rsid w:val="00822227"/>
    <w:rsid w:val="008264E0"/>
    <w:rsid w:val="0083218D"/>
    <w:rsid w:val="008326B2"/>
    <w:rsid w:val="008336A7"/>
    <w:rsid w:val="008413EB"/>
    <w:rsid w:val="00846831"/>
    <w:rsid w:val="00850F97"/>
    <w:rsid w:val="00856546"/>
    <w:rsid w:val="00856939"/>
    <w:rsid w:val="008608A4"/>
    <w:rsid w:val="00865532"/>
    <w:rsid w:val="00866D11"/>
    <w:rsid w:val="008737D3"/>
    <w:rsid w:val="008747E0"/>
    <w:rsid w:val="00876841"/>
    <w:rsid w:val="00885E37"/>
    <w:rsid w:val="008972C3"/>
    <w:rsid w:val="008A446F"/>
    <w:rsid w:val="008B102F"/>
    <w:rsid w:val="008B237E"/>
    <w:rsid w:val="008C33B5"/>
    <w:rsid w:val="008C73A8"/>
    <w:rsid w:val="008D017F"/>
    <w:rsid w:val="008E1F69"/>
    <w:rsid w:val="008E2167"/>
    <w:rsid w:val="008E59A3"/>
    <w:rsid w:val="008F57D8"/>
    <w:rsid w:val="00902834"/>
    <w:rsid w:val="009069AA"/>
    <w:rsid w:val="009131D6"/>
    <w:rsid w:val="00914E26"/>
    <w:rsid w:val="0091590F"/>
    <w:rsid w:val="00916E19"/>
    <w:rsid w:val="00920B0A"/>
    <w:rsid w:val="0092540C"/>
    <w:rsid w:val="00925E0F"/>
    <w:rsid w:val="00931A57"/>
    <w:rsid w:val="009414E6"/>
    <w:rsid w:val="009439AB"/>
    <w:rsid w:val="009575A2"/>
    <w:rsid w:val="0096705E"/>
    <w:rsid w:val="00971591"/>
    <w:rsid w:val="00974564"/>
    <w:rsid w:val="00974E99"/>
    <w:rsid w:val="009764FA"/>
    <w:rsid w:val="009778D2"/>
    <w:rsid w:val="00980192"/>
    <w:rsid w:val="00994A35"/>
    <w:rsid w:val="00994D97"/>
    <w:rsid w:val="009A0F4C"/>
    <w:rsid w:val="009B5154"/>
    <w:rsid w:val="009B7182"/>
    <w:rsid w:val="009B785E"/>
    <w:rsid w:val="009C26F8"/>
    <w:rsid w:val="009C3A74"/>
    <w:rsid w:val="009C609E"/>
    <w:rsid w:val="009C642A"/>
    <w:rsid w:val="009D6042"/>
    <w:rsid w:val="009E16EC"/>
    <w:rsid w:val="009E4A4D"/>
    <w:rsid w:val="009F081F"/>
    <w:rsid w:val="00A03543"/>
    <w:rsid w:val="00A03CFD"/>
    <w:rsid w:val="00A06FBA"/>
    <w:rsid w:val="00A13E56"/>
    <w:rsid w:val="00A24838"/>
    <w:rsid w:val="00A429D7"/>
    <w:rsid w:val="00A4308C"/>
    <w:rsid w:val="00A549B3"/>
    <w:rsid w:val="00A70F46"/>
    <w:rsid w:val="00A72ED7"/>
    <w:rsid w:val="00A908A3"/>
    <w:rsid w:val="00A90D86"/>
    <w:rsid w:val="00AA3E01"/>
    <w:rsid w:val="00AA70BD"/>
    <w:rsid w:val="00AB04DD"/>
    <w:rsid w:val="00AC33A2"/>
    <w:rsid w:val="00AD22D8"/>
    <w:rsid w:val="00AD62F4"/>
    <w:rsid w:val="00AD6D3F"/>
    <w:rsid w:val="00AE65F1"/>
    <w:rsid w:val="00AE6BB4"/>
    <w:rsid w:val="00AE74AD"/>
    <w:rsid w:val="00AF159C"/>
    <w:rsid w:val="00AF57DB"/>
    <w:rsid w:val="00B01873"/>
    <w:rsid w:val="00B17253"/>
    <w:rsid w:val="00B17BE0"/>
    <w:rsid w:val="00B31A41"/>
    <w:rsid w:val="00B40199"/>
    <w:rsid w:val="00B40837"/>
    <w:rsid w:val="00B4631D"/>
    <w:rsid w:val="00B502FF"/>
    <w:rsid w:val="00B67422"/>
    <w:rsid w:val="00B70BD4"/>
    <w:rsid w:val="00B73463"/>
    <w:rsid w:val="00B76874"/>
    <w:rsid w:val="00B84DB4"/>
    <w:rsid w:val="00B86207"/>
    <w:rsid w:val="00B9016D"/>
    <w:rsid w:val="00B9212C"/>
    <w:rsid w:val="00BA0F98"/>
    <w:rsid w:val="00BA1517"/>
    <w:rsid w:val="00BA2D76"/>
    <w:rsid w:val="00BA525E"/>
    <w:rsid w:val="00BA67FD"/>
    <w:rsid w:val="00BA7C48"/>
    <w:rsid w:val="00BB603C"/>
    <w:rsid w:val="00BC27F6"/>
    <w:rsid w:val="00BC39F4"/>
    <w:rsid w:val="00BD0748"/>
    <w:rsid w:val="00BD7EE1"/>
    <w:rsid w:val="00BE5568"/>
    <w:rsid w:val="00BF1358"/>
    <w:rsid w:val="00C0106D"/>
    <w:rsid w:val="00C133BE"/>
    <w:rsid w:val="00C222B4"/>
    <w:rsid w:val="00C35CF6"/>
    <w:rsid w:val="00C36028"/>
    <w:rsid w:val="00C42C0D"/>
    <w:rsid w:val="00C533EC"/>
    <w:rsid w:val="00C5470E"/>
    <w:rsid w:val="00C55EFB"/>
    <w:rsid w:val="00C56585"/>
    <w:rsid w:val="00C56B3F"/>
    <w:rsid w:val="00C773D9"/>
    <w:rsid w:val="00C80ACE"/>
    <w:rsid w:val="00C81162"/>
    <w:rsid w:val="00C81A54"/>
    <w:rsid w:val="00C83666"/>
    <w:rsid w:val="00C870B5"/>
    <w:rsid w:val="00C91630"/>
    <w:rsid w:val="00C966EB"/>
    <w:rsid w:val="00CA04B1"/>
    <w:rsid w:val="00CA18FD"/>
    <w:rsid w:val="00CA2DFC"/>
    <w:rsid w:val="00CB03D4"/>
    <w:rsid w:val="00CB05FA"/>
    <w:rsid w:val="00CB4F63"/>
    <w:rsid w:val="00CC2334"/>
    <w:rsid w:val="00CC35EF"/>
    <w:rsid w:val="00CC5048"/>
    <w:rsid w:val="00CC6246"/>
    <w:rsid w:val="00CE5E46"/>
    <w:rsid w:val="00CE67ED"/>
    <w:rsid w:val="00CF1581"/>
    <w:rsid w:val="00CF457E"/>
    <w:rsid w:val="00D056DA"/>
    <w:rsid w:val="00D1463A"/>
    <w:rsid w:val="00D1798C"/>
    <w:rsid w:val="00D34F12"/>
    <w:rsid w:val="00D3700C"/>
    <w:rsid w:val="00D370C4"/>
    <w:rsid w:val="00D40847"/>
    <w:rsid w:val="00D53098"/>
    <w:rsid w:val="00D653B1"/>
    <w:rsid w:val="00D65EF9"/>
    <w:rsid w:val="00D74AE1"/>
    <w:rsid w:val="00D865A8"/>
    <w:rsid w:val="00D92C2D"/>
    <w:rsid w:val="00D95AB7"/>
    <w:rsid w:val="00DA0837"/>
    <w:rsid w:val="00DA09DA"/>
    <w:rsid w:val="00DA17CD"/>
    <w:rsid w:val="00DB25B3"/>
    <w:rsid w:val="00DC0588"/>
    <w:rsid w:val="00DC3664"/>
    <w:rsid w:val="00DD1DE5"/>
    <w:rsid w:val="00DE0893"/>
    <w:rsid w:val="00DE2814"/>
    <w:rsid w:val="00DF68EA"/>
    <w:rsid w:val="00DF7041"/>
    <w:rsid w:val="00E01272"/>
    <w:rsid w:val="00E03846"/>
    <w:rsid w:val="00E07C54"/>
    <w:rsid w:val="00E20A7D"/>
    <w:rsid w:val="00E221C3"/>
    <w:rsid w:val="00E27A2F"/>
    <w:rsid w:val="00E42A94"/>
    <w:rsid w:val="00E458BF"/>
    <w:rsid w:val="00E5535A"/>
    <w:rsid w:val="00E62428"/>
    <w:rsid w:val="00E706E7"/>
    <w:rsid w:val="00E84229"/>
    <w:rsid w:val="00E90E4E"/>
    <w:rsid w:val="00E9391E"/>
    <w:rsid w:val="00E93B72"/>
    <w:rsid w:val="00EA1052"/>
    <w:rsid w:val="00EA218F"/>
    <w:rsid w:val="00EA2E87"/>
    <w:rsid w:val="00EA4F29"/>
    <w:rsid w:val="00EA5F83"/>
    <w:rsid w:val="00EA6F9D"/>
    <w:rsid w:val="00EB37AF"/>
    <w:rsid w:val="00EB6F3C"/>
    <w:rsid w:val="00EC1E2C"/>
    <w:rsid w:val="00EC35DD"/>
    <w:rsid w:val="00ED0CF1"/>
    <w:rsid w:val="00ED2A8D"/>
    <w:rsid w:val="00ED4039"/>
    <w:rsid w:val="00ED7E29"/>
    <w:rsid w:val="00EE54CB"/>
    <w:rsid w:val="00EF1C54"/>
    <w:rsid w:val="00EF3A7B"/>
    <w:rsid w:val="00EF404B"/>
    <w:rsid w:val="00EF6243"/>
    <w:rsid w:val="00F00376"/>
    <w:rsid w:val="00F01F48"/>
    <w:rsid w:val="00F157E2"/>
    <w:rsid w:val="00F527AC"/>
    <w:rsid w:val="00F575BD"/>
    <w:rsid w:val="00F61D83"/>
    <w:rsid w:val="00F63F77"/>
    <w:rsid w:val="00F65DD1"/>
    <w:rsid w:val="00F707B3"/>
    <w:rsid w:val="00F71135"/>
    <w:rsid w:val="00F83A53"/>
    <w:rsid w:val="00F87C37"/>
    <w:rsid w:val="00F90461"/>
    <w:rsid w:val="00F905E1"/>
    <w:rsid w:val="00FA45C7"/>
    <w:rsid w:val="00FB6A3D"/>
    <w:rsid w:val="00FC378B"/>
    <w:rsid w:val="00FC3977"/>
    <w:rsid w:val="00FD2E36"/>
    <w:rsid w:val="00FD2F16"/>
    <w:rsid w:val="00FD3516"/>
    <w:rsid w:val="00FD6065"/>
    <w:rsid w:val="00FE0094"/>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15:docId w15:val="{EEA47B67-394C-4DF0-857E-01829A25D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AB04DD"/>
    <w:p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0"/>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16"/>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6"/>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6"/>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6"/>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AB04DD"/>
    <w:pPr>
      <w:spacing w:after="120" w:line="240" w:lineRule="auto"/>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qFormat/>
    <w:rsid w:val="00822227"/>
    <w:pPr>
      <w:numPr>
        <w:ilvl w:val="1"/>
        <w:numId w:val="22"/>
      </w:num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qFormat/>
    <w:rsid w:val="00682F47"/>
    <w:pPr>
      <w:numPr>
        <w:numId w:val="18"/>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22"/>
      </w:numPr>
      <w:spacing w:after="120"/>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5"/>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numPr>
        <w:numId w:val="17"/>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customStyle="1" w:styleId="Bullet1">
    <w:name w:val="Bullet 1"/>
    <w:basedOn w:val="Normal"/>
    <w:rsid w:val="00DA0837"/>
    <w:pPr>
      <w:numPr>
        <w:numId w:val="19"/>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qFormat/>
    <w:rsid w:val="00DA0837"/>
    <w:pPr>
      <w:numPr>
        <w:numId w:val="20"/>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1"/>
      </w:numPr>
      <w:spacing w:after="120" w:line="240" w:lineRule="auto"/>
    </w:pPr>
    <w:rPr>
      <w:rFonts w:eastAsia="Times New Roman" w:cs="Times New Roman"/>
      <w:sz w:val="20"/>
      <w:szCs w:val="20"/>
      <w:lang w:eastAsia="en-GB"/>
    </w:rPr>
  </w:style>
  <w:style w:type="paragraph" w:customStyle="1" w:styleId="List1">
    <w:name w:val="List 1"/>
    <w:basedOn w:val="Normal"/>
    <w:qFormat/>
    <w:rsid w:val="00DA0837"/>
    <w:pPr>
      <w:numPr>
        <w:numId w:val="2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A0837"/>
    <w:pPr>
      <w:spacing w:after="120" w:line="240" w:lineRule="auto"/>
      <w:ind w:left="567"/>
      <w:jc w:val="both"/>
    </w:pPr>
    <w:rPr>
      <w:rFonts w:eastAsia="Times New Roman" w:cs="Times New Roman"/>
      <w:sz w:val="22"/>
      <w:szCs w:val="20"/>
      <w:lang w:eastAsia="en-GB"/>
    </w:rPr>
  </w:style>
  <w:style w:type="paragraph" w:customStyle="1" w:styleId="Acronym">
    <w:name w:val="Acronym"/>
    <w:basedOn w:val="Normal"/>
    <w:qFormat/>
    <w:rsid w:val="00BB603C"/>
    <w:pPr>
      <w:spacing w:after="60"/>
      <w:ind w:left="1418" w:hanging="1418"/>
    </w:pPr>
    <w:rPr>
      <w:sz w:val="22"/>
    </w:rPr>
  </w:style>
  <w:style w:type="paragraph" w:customStyle="1" w:styleId="Lista-recommendation">
    <w:name w:val="List a - recommendation"/>
    <w:basedOn w:val="Normal"/>
    <w:qFormat/>
    <w:rsid w:val="00163F01"/>
    <w:pPr>
      <w:spacing w:after="120" w:line="240" w:lineRule="auto"/>
      <w:ind w:left="1559" w:hanging="425"/>
      <w:jc w:val="both"/>
    </w:pPr>
    <w:rPr>
      <w:rFonts w:eastAsia="Times New Roman" w:cs="Times New Roman"/>
      <w:sz w:val="22"/>
      <w:szCs w:val="20"/>
      <w:lang w:eastAsia="en-GB"/>
    </w:rPr>
  </w:style>
  <w:style w:type="table" w:customStyle="1" w:styleId="Tabel-Gitter1">
    <w:name w:val="Tabel - Gitter1"/>
    <w:basedOn w:val="TableNormal"/>
    <w:next w:val="TableGrid"/>
    <w:uiPriority w:val="59"/>
    <w:rsid w:val="00AD22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Gitter2">
    <w:name w:val="Tabel - Gitter2"/>
    <w:basedOn w:val="TableNormal"/>
    <w:next w:val="TableGrid"/>
    <w:uiPriority w:val="59"/>
    <w:rsid w:val="00AD22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rsid w:val="00D530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705200">
      <w:bodyDiv w:val="1"/>
      <w:marLeft w:val="0"/>
      <w:marRight w:val="0"/>
      <w:marTop w:val="0"/>
      <w:marBottom w:val="0"/>
      <w:divBdr>
        <w:top w:val="none" w:sz="0" w:space="0" w:color="auto"/>
        <w:left w:val="none" w:sz="0" w:space="0" w:color="auto"/>
        <w:bottom w:val="none" w:sz="0" w:space="0" w:color="auto"/>
        <w:right w:val="none" w:sz="0" w:space="0" w:color="auto"/>
      </w:divBdr>
    </w:div>
    <w:div w:id="610435035">
      <w:bodyDiv w:val="1"/>
      <w:marLeft w:val="0"/>
      <w:marRight w:val="0"/>
      <w:marTop w:val="0"/>
      <w:marBottom w:val="0"/>
      <w:divBdr>
        <w:top w:val="none" w:sz="0" w:space="0" w:color="auto"/>
        <w:left w:val="none" w:sz="0" w:space="0" w:color="auto"/>
        <w:bottom w:val="none" w:sz="0" w:space="0" w:color="auto"/>
        <w:right w:val="none" w:sz="0" w:space="0" w:color="auto"/>
      </w:divBdr>
    </w:div>
    <w:div w:id="815534542">
      <w:bodyDiv w:val="1"/>
      <w:marLeft w:val="0"/>
      <w:marRight w:val="0"/>
      <w:marTop w:val="0"/>
      <w:marBottom w:val="0"/>
      <w:divBdr>
        <w:top w:val="none" w:sz="0" w:space="0" w:color="auto"/>
        <w:left w:val="none" w:sz="0" w:space="0" w:color="auto"/>
        <w:bottom w:val="none" w:sz="0" w:space="0" w:color="auto"/>
        <w:right w:val="none" w:sz="0" w:space="0" w:color="auto"/>
      </w:divBdr>
    </w:div>
    <w:div w:id="815537346">
      <w:bodyDiv w:val="1"/>
      <w:marLeft w:val="0"/>
      <w:marRight w:val="0"/>
      <w:marTop w:val="0"/>
      <w:marBottom w:val="0"/>
      <w:divBdr>
        <w:top w:val="none" w:sz="0" w:space="0" w:color="auto"/>
        <w:left w:val="none" w:sz="0" w:space="0" w:color="auto"/>
        <w:bottom w:val="none" w:sz="0" w:space="0" w:color="auto"/>
        <w:right w:val="none" w:sz="0" w:space="0" w:color="auto"/>
      </w:divBdr>
    </w:div>
    <w:div w:id="911431699">
      <w:bodyDiv w:val="1"/>
      <w:marLeft w:val="0"/>
      <w:marRight w:val="0"/>
      <w:marTop w:val="0"/>
      <w:marBottom w:val="0"/>
      <w:divBdr>
        <w:top w:val="none" w:sz="0" w:space="0" w:color="auto"/>
        <w:left w:val="none" w:sz="0" w:space="0" w:color="auto"/>
        <w:bottom w:val="none" w:sz="0" w:space="0" w:color="auto"/>
        <w:right w:val="none" w:sz="0" w:space="0" w:color="auto"/>
      </w:divBdr>
    </w:div>
    <w:div w:id="1248615308">
      <w:bodyDiv w:val="1"/>
      <w:marLeft w:val="0"/>
      <w:marRight w:val="0"/>
      <w:marTop w:val="0"/>
      <w:marBottom w:val="0"/>
      <w:divBdr>
        <w:top w:val="none" w:sz="0" w:space="0" w:color="auto"/>
        <w:left w:val="none" w:sz="0" w:space="0" w:color="auto"/>
        <w:bottom w:val="none" w:sz="0" w:space="0" w:color="auto"/>
        <w:right w:val="none" w:sz="0" w:space="0" w:color="auto"/>
      </w:divBdr>
    </w:div>
    <w:div w:id="1493712303">
      <w:bodyDiv w:val="1"/>
      <w:marLeft w:val="0"/>
      <w:marRight w:val="0"/>
      <w:marTop w:val="0"/>
      <w:marBottom w:val="0"/>
      <w:divBdr>
        <w:top w:val="none" w:sz="0" w:space="0" w:color="auto"/>
        <w:left w:val="none" w:sz="0" w:space="0" w:color="auto"/>
        <w:bottom w:val="none" w:sz="0" w:space="0" w:color="auto"/>
        <w:right w:val="none" w:sz="0" w:space="0" w:color="auto"/>
      </w:divBdr>
    </w:div>
    <w:div w:id="1770004263">
      <w:bodyDiv w:val="1"/>
      <w:marLeft w:val="0"/>
      <w:marRight w:val="0"/>
      <w:marTop w:val="0"/>
      <w:marBottom w:val="0"/>
      <w:divBdr>
        <w:top w:val="none" w:sz="0" w:space="0" w:color="auto"/>
        <w:left w:val="none" w:sz="0" w:space="0" w:color="auto"/>
        <w:bottom w:val="none" w:sz="0" w:space="0" w:color="auto"/>
        <w:right w:val="none" w:sz="0" w:space="0" w:color="auto"/>
      </w:divBdr>
    </w:div>
    <w:div w:id="1795758417">
      <w:bodyDiv w:val="1"/>
      <w:marLeft w:val="0"/>
      <w:marRight w:val="0"/>
      <w:marTop w:val="0"/>
      <w:marBottom w:val="0"/>
      <w:divBdr>
        <w:top w:val="none" w:sz="0" w:space="0" w:color="auto"/>
        <w:left w:val="none" w:sz="0" w:space="0" w:color="auto"/>
        <w:bottom w:val="none" w:sz="0" w:space="0" w:color="auto"/>
        <w:right w:val="none" w:sz="0" w:space="0" w:color="auto"/>
      </w:divBdr>
    </w:div>
    <w:div w:id="1803839736">
      <w:bodyDiv w:val="1"/>
      <w:marLeft w:val="0"/>
      <w:marRight w:val="0"/>
      <w:marTop w:val="0"/>
      <w:marBottom w:val="0"/>
      <w:divBdr>
        <w:top w:val="none" w:sz="0" w:space="0" w:color="auto"/>
        <w:left w:val="none" w:sz="0" w:space="0" w:color="auto"/>
        <w:bottom w:val="none" w:sz="0" w:space="0" w:color="auto"/>
        <w:right w:val="none" w:sz="0" w:space="0" w:color="auto"/>
      </w:divBdr>
    </w:div>
    <w:div w:id="1957953787">
      <w:bodyDiv w:val="1"/>
      <w:marLeft w:val="0"/>
      <w:marRight w:val="0"/>
      <w:marTop w:val="0"/>
      <w:marBottom w:val="0"/>
      <w:divBdr>
        <w:top w:val="none" w:sz="0" w:space="0" w:color="auto"/>
        <w:left w:val="none" w:sz="0" w:space="0" w:color="auto"/>
        <w:bottom w:val="none" w:sz="0" w:space="0" w:color="auto"/>
        <w:right w:val="none" w:sz="0" w:space="0" w:color="auto"/>
      </w:divBdr>
    </w:div>
    <w:div w:id="1977176264">
      <w:bodyDiv w:val="1"/>
      <w:marLeft w:val="0"/>
      <w:marRight w:val="0"/>
      <w:marTop w:val="0"/>
      <w:marBottom w:val="0"/>
      <w:divBdr>
        <w:top w:val="none" w:sz="0" w:space="0" w:color="auto"/>
        <w:left w:val="none" w:sz="0" w:space="0" w:color="auto"/>
        <w:bottom w:val="none" w:sz="0" w:space="0" w:color="auto"/>
        <w:right w:val="none" w:sz="0" w:space="0" w:color="auto"/>
      </w:divBdr>
    </w:div>
    <w:div w:id="1994214510">
      <w:bodyDiv w:val="1"/>
      <w:marLeft w:val="0"/>
      <w:marRight w:val="0"/>
      <w:marTop w:val="0"/>
      <w:marBottom w:val="0"/>
      <w:divBdr>
        <w:top w:val="none" w:sz="0" w:space="0" w:color="auto"/>
        <w:left w:val="none" w:sz="0" w:space="0" w:color="auto"/>
        <w:bottom w:val="none" w:sz="0" w:space="0" w:color="auto"/>
        <w:right w:val="none" w:sz="0" w:space="0" w:color="auto"/>
      </w:divBdr>
    </w:div>
    <w:div w:id="2065060030">
      <w:bodyDiv w:val="1"/>
      <w:marLeft w:val="0"/>
      <w:marRight w:val="0"/>
      <w:marTop w:val="0"/>
      <w:marBottom w:val="0"/>
      <w:divBdr>
        <w:top w:val="none" w:sz="0" w:space="0" w:color="auto"/>
        <w:left w:val="none" w:sz="0" w:space="0" w:color="auto"/>
        <w:bottom w:val="none" w:sz="0" w:space="0" w:color="auto"/>
        <w:right w:val="none" w:sz="0" w:space="0" w:color="auto"/>
      </w:divBdr>
    </w:div>
    <w:div w:id="2108646692">
      <w:bodyDiv w:val="1"/>
      <w:marLeft w:val="0"/>
      <w:marRight w:val="0"/>
      <w:marTop w:val="0"/>
      <w:marBottom w:val="0"/>
      <w:divBdr>
        <w:top w:val="none" w:sz="0" w:space="0" w:color="auto"/>
        <w:left w:val="none" w:sz="0" w:space="0" w:color="auto"/>
        <w:bottom w:val="none" w:sz="0" w:space="0" w:color="auto"/>
        <w:right w:val="none" w:sz="0" w:space="0" w:color="auto"/>
      </w:divBdr>
    </w:div>
    <w:div w:id="2124225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5.emf"/><Relationship Id="rId26" Type="http://schemas.openxmlformats.org/officeDocument/2006/relationships/image" Target="media/image13.emf"/><Relationship Id="rId3" Type="http://schemas.openxmlformats.org/officeDocument/2006/relationships/styles" Target="styles.xml"/><Relationship Id="rId21" Type="http://schemas.openxmlformats.org/officeDocument/2006/relationships/image" Target="media/image8.emf"/><Relationship Id="rId34"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image" Target="media/image12.emf"/><Relationship Id="rId33" Type="http://schemas.openxmlformats.org/officeDocument/2006/relationships/image" Target="media/image20.emf"/><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7.emf"/><Relationship Id="rId29" Type="http://schemas.openxmlformats.org/officeDocument/2006/relationships/image" Target="media/image16.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1.emf"/><Relationship Id="rId32" Type="http://schemas.openxmlformats.org/officeDocument/2006/relationships/image" Target="media/image19.emf"/><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10.emf"/><Relationship Id="rId28" Type="http://schemas.openxmlformats.org/officeDocument/2006/relationships/image" Target="media/image15.emf"/><Relationship Id="rId36" Type="http://schemas.openxmlformats.org/officeDocument/2006/relationships/header" Target="header9.xml"/><Relationship Id="rId10" Type="http://schemas.openxmlformats.org/officeDocument/2006/relationships/footer" Target="footer1.xml"/><Relationship Id="rId19" Type="http://schemas.openxmlformats.org/officeDocument/2006/relationships/image" Target="media/image6.emf"/><Relationship Id="rId31" Type="http://schemas.openxmlformats.org/officeDocument/2006/relationships/image" Target="media/image18.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9.emf"/><Relationship Id="rId27" Type="http://schemas.openxmlformats.org/officeDocument/2006/relationships/image" Target="media/image14.emf"/><Relationship Id="rId30" Type="http://schemas.openxmlformats.org/officeDocument/2006/relationships/image" Target="media/image17.emf"/><Relationship Id="rId35" Type="http://schemas.openxmlformats.org/officeDocument/2006/relationships/header" Target="header8.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B6486-1DE5-44F0-A5ED-A1B3C95BF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11</Pages>
  <Words>895</Words>
  <Characters>5106</Characters>
  <Application>Microsoft Office Word</Application>
  <DocSecurity>0</DocSecurity>
  <Lines>42</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5990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Seamus Doyle</cp:lastModifiedBy>
  <cp:revision>2</cp:revision>
  <cp:lastPrinted>2016-10-26T07:39:00Z</cp:lastPrinted>
  <dcterms:created xsi:type="dcterms:W3CDTF">2017-03-29T14:46:00Z</dcterms:created>
  <dcterms:modified xsi:type="dcterms:W3CDTF">2017-03-30T12:09:00Z</dcterms:modified>
</cp:coreProperties>
</file>